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62588" w14:textId="0D7E5CE4" w:rsidR="00803C0D" w:rsidRPr="00684458" w:rsidRDefault="00684458" w:rsidP="00684458">
      <w:pPr>
        <w:spacing w:before="440"/>
        <w:jc w:val="center"/>
        <w:rPr>
          <w:rFonts w:ascii="Aptos Display" w:hAnsi="Aptos Display"/>
          <w:b/>
          <w:color w:val="17365D"/>
          <w:sz w:val="50"/>
        </w:rPr>
      </w:pPr>
      <w:r>
        <w:rPr>
          <w:rFonts w:ascii="Aptos Display" w:hAnsi="Aptos Display"/>
          <w:b/>
          <w:color w:val="17365D"/>
          <w:sz w:val="50"/>
        </w:rPr>
        <w:t xml:space="preserve">Regional </w:t>
      </w:r>
      <w:r w:rsidR="00AD6FA4">
        <w:rPr>
          <w:rFonts w:ascii="Aptos Display" w:hAnsi="Aptos Display"/>
          <w:b/>
          <w:color w:val="17365D"/>
          <w:sz w:val="50"/>
        </w:rPr>
        <w:t>R</w:t>
      </w:r>
      <w:r>
        <w:rPr>
          <w:rFonts w:ascii="Aptos Display" w:hAnsi="Aptos Display"/>
          <w:b/>
          <w:color w:val="17365D"/>
          <w:sz w:val="50"/>
        </w:rPr>
        <w:t xml:space="preserve">esource </w:t>
      </w:r>
      <w:r w:rsidR="00AD6FA4">
        <w:rPr>
          <w:rFonts w:ascii="Aptos Display" w:hAnsi="Aptos Display"/>
          <w:b/>
          <w:color w:val="17365D"/>
          <w:sz w:val="50"/>
        </w:rPr>
        <w:t>A</w:t>
      </w:r>
      <w:r>
        <w:rPr>
          <w:rFonts w:ascii="Aptos Display" w:hAnsi="Aptos Display"/>
          <w:b/>
          <w:color w:val="17365D"/>
          <w:sz w:val="50"/>
        </w:rPr>
        <w:t>dequacy</w:t>
      </w:r>
      <w:r w:rsidR="00AD6FA4">
        <w:rPr>
          <w:rFonts w:ascii="Aptos Display" w:hAnsi="Aptos Display"/>
          <w:b/>
          <w:color w:val="17365D"/>
          <w:sz w:val="50"/>
        </w:rPr>
        <w:t xml:space="preserve"> Transmission Requirements</w:t>
      </w:r>
    </w:p>
    <w:p w14:paraId="29DA12B4" w14:textId="0BD76355" w:rsidR="00803C0D" w:rsidRDefault="00684458">
      <w:pPr>
        <w:jc w:val="center"/>
      </w:pPr>
      <w:r>
        <w:rPr>
          <w:b/>
          <w:color w:val="2F5597"/>
          <w:sz w:val="32"/>
        </w:rPr>
        <w:t>D</w:t>
      </w:r>
      <w:r>
        <w:rPr>
          <w:b/>
          <w:color w:val="2F5597"/>
          <w:sz w:val="32"/>
        </w:rPr>
        <w:t>raft</w:t>
      </w:r>
      <w:r w:rsidR="00AD6FA4">
        <w:rPr>
          <w:b/>
          <w:color w:val="2F5597"/>
          <w:sz w:val="32"/>
        </w:rPr>
        <w:t xml:space="preserve"> Straw Proposal</w:t>
      </w:r>
    </w:p>
    <w:p w14:paraId="69F33255" w14:textId="0E979EF8" w:rsidR="00803C0D" w:rsidRDefault="00803C0D">
      <w:pPr>
        <w:jc w:val="center"/>
      </w:pPr>
    </w:p>
    <w:p w14:paraId="672A6659" w14:textId="77777777" w:rsidR="00803C0D" w:rsidRDefault="00803C0D"/>
    <w:p w14:paraId="475C8170" w14:textId="77777777" w:rsidR="00803C0D" w:rsidRDefault="00AD6FA4">
      <w:pPr>
        <w:pStyle w:val="Heading1"/>
      </w:pPr>
      <w:r>
        <w:t>1. Proposal at a Glance</w:t>
      </w:r>
    </w:p>
    <w:p w14:paraId="2E3F60D2" w14:textId="2431A30F" w:rsidR="00803C0D" w:rsidRDefault="5AAA7A37">
      <w:pPr>
        <w:pStyle w:val="ProposalLead"/>
      </w:pPr>
      <w:r w:rsidRPr="556937BB">
        <w:rPr>
          <w:b/>
          <w:bCs/>
        </w:rPr>
        <w:t xml:space="preserve">The </w:t>
      </w:r>
      <w:r w:rsidR="00684458">
        <w:rPr>
          <w:b/>
          <w:bCs/>
        </w:rPr>
        <w:t xml:space="preserve">Draft Straw Proposal provides a </w:t>
      </w:r>
      <w:r w:rsidRPr="556937BB">
        <w:rPr>
          <w:b/>
          <w:bCs/>
        </w:rPr>
        <w:t xml:space="preserve">revised approach </w:t>
      </w:r>
      <w:r w:rsidR="00684458">
        <w:rPr>
          <w:b/>
          <w:bCs/>
        </w:rPr>
        <w:t xml:space="preserve">to the transmission requirement from the earlier Consideration Design Document by </w:t>
      </w:r>
      <w:r w:rsidR="00E0321D">
        <w:rPr>
          <w:b/>
          <w:bCs/>
        </w:rPr>
        <w:t>establish</w:t>
      </w:r>
      <w:r w:rsidR="00684458">
        <w:rPr>
          <w:b/>
          <w:bCs/>
        </w:rPr>
        <w:t>ing</w:t>
      </w:r>
      <w:r w:rsidR="00E0321D">
        <w:rPr>
          <w:b/>
          <w:bCs/>
        </w:rPr>
        <w:t xml:space="preserve"> a</w:t>
      </w:r>
      <w:r w:rsidRPr="556937BB">
        <w:rPr>
          <w:b/>
          <w:bCs/>
        </w:rPr>
        <w:t xml:space="preserve"> distinction between constrained and secondary transmission legs, simplif</w:t>
      </w:r>
      <w:r w:rsidR="00684458">
        <w:rPr>
          <w:b/>
          <w:bCs/>
        </w:rPr>
        <w:t>ied</w:t>
      </w:r>
      <w:r w:rsidRPr="556937BB">
        <w:rPr>
          <w:b/>
          <w:bCs/>
        </w:rPr>
        <w:t xml:space="preserve"> compliance administration, </w:t>
      </w:r>
      <w:r w:rsidR="00684458">
        <w:rPr>
          <w:b/>
          <w:bCs/>
        </w:rPr>
        <w:t>and</w:t>
      </w:r>
      <w:r w:rsidR="00803355">
        <w:rPr>
          <w:b/>
          <w:bCs/>
        </w:rPr>
        <w:t xml:space="preserve"> </w:t>
      </w:r>
      <w:r w:rsidRPr="556937BB">
        <w:rPr>
          <w:b/>
          <w:bCs/>
        </w:rPr>
        <w:t>narrow exceptions</w:t>
      </w:r>
      <w:r w:rsidR="274DC15A" w:rsidRPr="556937BB">
        <w:rPr>
          <w:b/>
          <w:bCs/>
        </w:rPr>
        <w:t xml:space="preserve"> for transmission </w:t>
      </w:r>
      <w:r w:rsidR="00E9782D" w:rsidRPr="556937BB">
        <w:rPr>
          <w:b/>
          <w:bCs/>
        </w:rPr>
        <w:t>deficienc</w:t>
      </w:r>
      <w:r w:rsidR="00E9782D">
        <w:rPr>
          <w:b/>
          <w:bCs/>
        </w:rPr>
        <w:t>ies.</w:t>
      </w:r>
    </w:p>
    <w:p w14:paraId="59BA2235" w14:textId="152C1AFE" w:rsidR="556937BB" w:rsidRDefault="556937BB" w:rsidP="556937BB">
      <w:pPr>
        <w:pStyle w:val="ProposalLead"/>
        <w:rPr>
          <w:b/>
          <w:bCs/>
        </w:rPr>
      </w:pPr>
    </w:p>
    <w:tbl>
      <w:tblPr>
        <w:tblW w:w="11608" w:type="dxa"/>
        <w:jc w:val="center"/>
        <w:tblBorders>
          <w:top w:val="single" w:sz="4" w:space="0" w:color="B7C9D6"/>
          <w:left w:val="single" w:sz="4" w:space="0" w:color="B7C9D6"/>
          <w:bottom w:val="single" w:sz="4" w:space="0" w:color="B7C9D6"/>
          <w:right w:val="single" w:sz="4" w:space="0" w:color="B7C9D6"/>
          <w:insideH w:val="single" w:sz="4" w:space="0" w:color="B7C9D6"/>
          <w:insideV w:val="single" w:sz="4" w:space="0" w:color="B7C9D6"/>
        </w:tblBorders>
        <w:tblLayout w:type="fixed"/>
        <w:tblLook w:val="04A0" w:firstRow="1" w:lastRow="0" w:firstColumn="1" w:lastColumn="0" w:noHBand="0" w:noVBand="1"/>
      </w:tblPr>
      <w:tblGrid>
        <w:gridCol w:w="4728"/>
        <w:gridCol w:w="6880"/>
      </w:tblGrid>
      <w:tr w:rsidR="00803C0D" w14:paraId="70B2A61F" w14:textId="77777777" w:rsidTr="009F44BB">
        <w:trPr>
          <w:trHeight w:val="374"/>
          <w:tblHeader/>
          <w:jc w:val="center"/>
        </w:trPr>
        <w:tc>
          <w:tcPr>
            <w:tcW w:w="4728" w:type="dxa"/>
            <w:shd w:val="clear" w:color="auto" w:fill="17365D" w:themeFill="text2" w:themeFillShade="B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6F3D6E7" w14:textId="2A23140F" w:rsidR="00803C0D" w:rsidRDefault="00803C0D" w:rsidP="556937BB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6880" w:type="dxa"/>
            <w:shd w:val="clear" w:color="auto" w:fill="17365D" w:themeFill="text2" w:themeFillShade="B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C016468" w14:textId="380F21B9" w:rsidR="00803C0D" w:rsidRPr="00E8735A" w:rsidRDefault="00803C0D" w:rsidP="556937BB">
            <w:pPr>
              <w:rPr>
                <w:b/>
                <w:bCs/>
                <w:strike/>
                <w:color w:val="FFFFFF" w:themeColor="background1"/>
              </w:rPr>
            </w:pPr>
          </w:p>
        </w:tc>
      </w:tr>
      <w:tr w:rsidR="00803C0D" w14:paraId="273A5396" w14:textId="77777777" w:rsidTr="009F44BB">
        <w:trPr>
          <w:trHeight w:val="1181"/>
          <w:jc w:val="center"/>
        </w:trPr>
        <w:tc>
          <w:tcPr>
            <w:tcW w:w="4728" w:type="dxa"/>
            <w:shd w:val="clear" w:color="auto" w:fill="D9EAF7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35A40219" w14:textId="77777777" w:rsidR="00803C0D" w:rsidRDefault="00AD6FA4">
            <w:r>
              <w:rPr>
                <w:b/>
              </w:rPr>
              <w:t>Core structure</w:t>
            </w:r>
          </w:p>
        </w:tc>
        <w:tc>
          <w:tcPr>
            <w:tcW w:w="6880" w:type="dxa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1ADC9CD4" w14:textId="5BD0CFB3" w:rsidR="00803C0D" w:rsidRDefault="00E9782D">
            <w:r>
              <w:t>Transmission legs are classified</w:t>
            </w:r>
            <w:r w:rsidR="5AAA7A37">
              <w:t xml:space="preserve"> as constrained or </w:t>
            </w:r>
            <w:r w:rsidR="5A0F6E6C">
              <w:t xml:space="preserve">secondary </w:t>
            </w:r>
            <w:r w:rsidR="5AAA7A37">
              <w:t xml:space="preserve">and </w:t>
            </w:r>
            <w:r w:rsidR="00803355">
              <w:t xml:space="preserve">a </w:t>
            </w:r>
            <w:r w:rsidR="5AAA7A37">
              <w:t xml:space="preserve">more stringent demonstration </w:t>
            </w:r>
            <w:r w:rsidR="00803355">
              <w:t xml:space="preserve">is applied </w:t>
            </w:r>
            <w:r w:rsidR="5AAA7A37">
              <w:t>to constrained legs.</w:t>
            </w:r>
            <w:r>
              <w:t xml:space="preserve"> The methodology for determining constrained versus secondary will be determined at a later point in time, but may incorporate historical curtailment data.</w:t>
            </w:r>
          </w:p>
        </w:tc>
      </w:tr>
      <w:tr w:rsidR="00803C0D" w14:paraId="52792903" w14:textId="77777777" w:rsidTr="009F44BB">
        <w:trPr>
          <w:trHeight w:val="907"/>
          <w:jc w:val="center"/>
        </w:trPr>
        <w:tc>
          <w:tcPr>
            <w:tcW w:w="4728" w:type="dxa"/>
            <w:shd w:val="clear" w:color="auto" w:fill="D9EAF7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1B30B9F8" w14:textId="689E3829" w:rsidR="00803C0D" w:rsidRDefault="5AAA7A37">
            <w:r w:rsidRPr="556937BB">
              <w:rPr>
                <w:b/>
                <w:bCs/>
              </w:rPr>
              <w:t>Monthly showing</w:t>
            </w:r>
            <w:r w:rsidR="231DF0C7" w:rsidRPr="556937BB">
              <w:rPr>
                <w:b/>
                <w:bCs/>
              </w:rPr>
              <w:t xml:space="preserve"> </w:t>
            </w:r>
          </w:p>
        </w:tc>
        <w:tc>
          <w:tcPr>
            <w:tcW w:w="6880" w:type="dxa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4FA4B291" w14:textId="50355F26" w:rsidR="00803C0D" w:rsidRDefault="00AD6FA4">
            <w:r>
              <w:t xml:space="preserve">Require a </w:t>
            </w:r>
            <w:r w:rsidR="00E9782D">
              <w:t>transmission demonstration</w:t>
            </w:r>
            <w:r>
              <w:t xml:space="preserve"> at the monthly compliance showing, with qualifying firm, conditional firm, NITS, redirectable </w:t>
            </w:r>
            <w:r w:rsidR="0006472E">
              <w:t xml:space="preserve">firm or conditional </w:t>
            </w:r>
            <w:r>
              <w:t>rights</w:t>
            </w:r>
            <w:r w:rsidR="00C42050">
              <w:t xml:space="preserve"> on the same transmission system</w:t>
            </w:r>
            <w:r>
              <w:t>, or an equivalent TSR queue position.</w:t>
            </w:r>
          </w:p>
        </w:tc>
      </w:tr>
      <w:tr w:rsidR="00803C0D" w14:paraId="73B8FBDA" w14:textId="77777777" w:rsidTr="009F44BB">
        <w:trPr>
          <w:trHeight w:val="921"/>
          <w:jc w:val="center"/>
        </w:trPr>
        <w:tc>
          <w:tcPr>
            <w:tcW w:w="4728" w:type="dxa"/>
            <w:shd w:val="clear" w:color="auto" w:fill="D9EAF7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7E5F52D8" w14:textId="04A75EA7" w:rsidR="00803C0D" w:rsidRPr="003B2E25" w:rsidRDefault="5AAA7A37">
            <w:r w:rsidRPr="003B2E25">
              <w:rPr>
                <w:b/>
                <w:bCs/>
              </w:rPr>
              <w:t xml:space="preserve">Cure </w:t>
            </w:r>
            <w:r w:rsidR="35263807" w:rsidRPr="003B2E25">
              <w:rPr>
                <w:b/>
                <w:bCs/>
              </w:rPr>
              <w:t xml:space="preserve">principle </w:t>
            </w:r>
          </w:p>
        </w:tc>
        <w:tc>
          <w:tcPr>
            <w:tcW w:w="6880" w:type="dxa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15C65A03" w14:textId="2C58A5CB" w:rsidR="00803C0D" w:rsidRDefault="00AD6FA4">
            <w:r>
              <w:t xml:space="preserve">Require the participant to procure the highest-quality transmission </w:t>
            </w:r>
            <w:r w:rsidR="0072389A">
              <w:t>available</w:t>
            </w:r>
            <w:r>
              <w:t>, using a</w:t>
            </w:r>
            <w:r w:rsidR="00FA1E88">
              <w:t>n</w:t>
            </w:r>
            <w:r>
              <w:t xml:space="preserve"> attestation approach rather than continuous program validation.</w:t>
            </w:r>
            <w:r w:rsidR="00484CAF" w:rsidRPr="003B2E25">
              <w:rPr>
                <w:color w:val="FF0000"/>
              </w:rPr>
              <w:t xml:space="preserve"> </w:t>
            </w:r>
          </w:p>
        </w:tc>
      </w:tr>
      <w:tr w:rsidR="00803C0D" w14:paraId="0F1264F3" w14:textId="77777777" w:rsidTr="009F44BB">
        <w:trPr>
          <w:trHeight w:val="907"/>
          <w:jc w:val="center"/>
        </w:trPr>
        <w:tc>
          <w:tcPr>
            <w:tcW w:w="4728" w:type="dxa"/>
            <w:shd w:val="clear" w:color="auto" w:fill="D9EAF7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61FD52AA" w14:textId="77777777" w:rsidR="00803C0D" w:rsidRDefault="00AD6FA4">
            <w:r>
              <w:rPr>
                <w:b/>
              </w:rPr>
              <w:t>Non-firm use</w:t>
            </w:r>
          </w:p>
        </w:tc>
        <w:tc>
          <w:tcPr>
            <w:tcW w:w="6880" w:type="dxa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66B252EC" w14:textId="56E8319D" w:rsidR="00803C0D" w:rsidRDefault="5AAA7A37">
            <w:r>
              <w:t>Permit non-firm as a limited cure tool only when</w:t>
            </w:r>
            <w:r w:rsidR="00C42050">
              <w:t xml:space="preserve"> </w:t>
            </w:r>
            <w:r w:rsidR="00227D4B">
              <w:t>none of the</w:t>
            </w:r>
            <w:r w:rsidR="00C42050">
              <w:t xml:space="preserve"> firm or conditional firm options</w:t>
            </w:r>
            <w:r w:rsidR="00710EE4">
              <w:t xml:space="preserve"> </w:t>
            </w:r>
            <w:r w:rsidR="00C42050">
              <w:t>to compl</w:t>
            </w:r>
            <w:r w:rsidR="00227D4B">
              <w:t xml:space="preserve">y with the </w:t>
            </w:r>
            <w:r w:rsidR="001E30B2">
              <w:t xml:space="preserve">applicable </w:t>
            </w:r>
            <w:r w:rsidR="00CA2B15">
              <w:t xml:space="preserve">transmission </w:t>
            </w:r>
            <w:r w:rsidR="00227D4B">
              <w:t>requirements</w:t>
            </w:r>
            <w:r w:rsidR="001E30B2">
              <w:t xml:space="preserve"> on a given leg</w:t>
            </w:r>
            <w:r w:rsidR="00CA2B15">
              <w:t>,</w:t>
            </w:r>
            <w:r w:rsidR="00710EE4">
              <w:t xml:space="preserve"> </w:t>
            </w:r>
            <w:r w:rsidR="001E30B2">
              <w:t xml:space="preserve">as </w:t>
            </w:r>
            <w:r w:rsidR="00710EE4">
              <w:t>listed in section</w:t>
            </w:r>
            <w:r w:rsidR="001E30B2">
              <w:t>s</w:t>
            </w:r>
            <w:r w:rsidR="00710EE4">
              <w:t xml:space="preserve"> 4.1</w:t>
            </w:r>
            <w:r w:rsidR="001E30B2">
              <w:t xml:space="preserve"> and 4.2</w:t>
            </w:r>
            <w:r w:rsidR="00CA2B15">
              <w:t>,</w:t>
            </w:r>
            <w:r w:rsidR="00227D4B">
              <w:t xml:space="preserve"> are available</w:t>
            </w:r>
            <w:r w:rsidR="00710EE4">
              <w:t>.</w:t>
            </w:r>
            <w:r>
              <w:t xml:space="preserve"> </w:t>
            </w:r>
          </w:p>
        </w:tc>
      </w:tr>
      <w:tr w:rsidR="00803C0D" w14:paraId="40853C37" w14:textId="77777777" w:rsidTr="009F44BB">
        <w:trPr>
          <w:trHeight w:val="921"/>
          <w:jc w:val="center"/>
        </w:trPr>
        <w:tc>
          <w:tcPr>
            <w:tcW w:w="4728" w:type="dxa"/>
            <w:shd w:val="clear" w:color="auto" w:fill="D9EAF7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4B3AAE9D" w14:textId="77777777" w:rsidR="00803C0D" w:rsidRDefault="00AD6FA4">
            <w:r>
              <w:rPr>
                <w:b/>
              </w:rPr>
              <w:t>Exceptions</w:t>
            </w:r>
          </w:p>
        </w:tc>
        <w:tc>
          <w:tcPr>
            <w:tcW w:w="6880" w:type="dxa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716E37BA" w14:textId="378F3F0B" w:rsidR="00803C0D" w:rsidRDefault="5AAA7A37" w:rsidP="556937BB">
            <w:r>
              <w:t xml:space="preserve"> Retain narrowly framed</w:t>
            </w:r>
            <w:r w:rsidR="0658D2B6">
              <w:t xml:space="preserve"> </w:t>
            </w:r>
            <w:r w:rsidR="00803355">
              <w:t xml:space="preserve">case-by-case </w:t>
            </w:r>
            <w:r w:rsidR="0658D2B6">
              <w:t>exceptions:</w:t>
            </w:r>
            <w:r>
              <w:t xml:space="preserve"> </w:t>
            </w:r>
            <w:r w:rsidR="00803355">
              <w:t>For e</w:t>
            </w:r>
            <w:r w:rsidR="1FAECADE">
              <w:t>xample</w:t>
            </w:r>
            <w:r w:rsidR="00803355">
              <w:t>,</w:t>
            </w:r>
            <w:r w:rsidR="1FAECADE">
              <w:t xml:space="preserve"> </w:t>
            </w:r>
            <w:r w:rsidR="00803355">
              <w:t>t</w:t>
            </w:r>
            <w:r w:rsidR="7C65F1A5">
              <w:t xml:space="preserve">ransmission </w:t>
            </w:r>
            <w:r>
              <w:t>outage and derate</w:t>
            </w:r>
            <w:r w:rsidR="009A5578">
              <w:t>s available to show deliverability of resources to load</w:t>
            </w:r>
            <w:r w:rsidR="00684458">
              <w:t>.</w:t>
            </w:r>
          </w:p>
        </w:tc>
      </w:tr>
      <w:tr w:rsidR="00803C0D" w14:paraId="2CD23857" w14:textId="77777777" w:rsidTr="009F44BB">
        <w:trPr>
          <w:trHeight w:val="907"/>
          <w:jc w:val="center"/>
        </w:trPr>
        <w:tc>
          <w:tcPr>
            <w:tcW w:w="4728" w:type="dxa"/>
            <w:shd w:val="clear" w:color="auto" w:fill="D9EAF7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1868B637" w14:textId="77777777" w:rsidR="00803C0D" w:rsidRDefault="00AD6FA4">
            <w:r>
              <w:rPr>
                <w:b/>
              </w:rPr>
              <w:lastRenderedPageBreak/>
              <w:t>Operational handoff</w:t>
            </w:r>
          </w:p>
        </w:tc>
        <w:tc>
          <w:tcPr>
            <w:tcW w:w="6880" w:type="dxa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682A7F83" w14:textId="66E1B615" w:rsidR="00803C0D" w:rsidRDefault="00AD6FA4">
            <w:r>
              <w:t xml:space="preserve">End the RA cure process </w:t>
            </w:r>
            <w:r w:rsidR="00531C63">
              <w:t xml:space="preserve">for constrained legs </w:t>
            </w:r>
            <w:r>
              <w:t>before the applicable EDAM modeling, registration, or bid-submission deadline. The exact cutoff remains open pending confirmation of EDAM and transmission-provider timelines.</w:t>
            </w:r>
          </w:p>
        </w:tc>
      </w:tr>
    </w:tbl>
    <w:p w14:paraId="346DF386" w14:textId="77777777" w:rsidR="00803C0D" w:rsidRDefault="00AD6FA4">
      <w:pPr>
        <w:pStyle w:val="Heading1"/>
      </w:pPr>
      <w:r>
        <w:t>2. Design Principles</w:t>
      </w:r>
    </w:p>
    <w:p w14:paraId="65B96368" w14:textId="07E23D30" w:rsidR="00A7114D" w:rsidRPr="00A7114D" w:rsidRDefault="00A7114D" w:rsidP="00A7114D">
      <w:pPr>
        <w:pStyle w:val="ListBullet"/>
        <w:numPr>
          <w:ilvl w:val="0"/>
          <w:numId w:val="9"/>
        </w:numPr>
      </w:pPr>
      <w:r w:rsidRPr="00E8735A">
        <w:rPr>
          <w:b/>
          <w:bCs/>
        </w:rPr>
        <w:t>Reliability first.</w:t>
      </w:r>
      <w:r>
        <w:t xml:space="preserve"> Load-serving entities shall pursue the highest-quality transmission </w:t>
      </w:r>
      <w:r w:rsidR="00095205">
        <w:t>available.</w:t>
      </w:r>
    </w:p>
    <w:p w14:paraId="1151324D" w14:textId="77777777" w:rsidR="00803C0D" w:rsidRDefault="5AAA7A37" w:rsidP="00E55252">
      <w:pPr>
        <w:pStyle w:val="ListBullet"/>
        <w:numPr>
          <w:ilvl w:val="0"/>
          <w:numId w:val="9"/>
        </w:numPr>
      </w:pPr>
      <w:r w:rsidRPr="00E8735A">
        <w:rPr>
          <w:b/>
          <w:bCs/>
        </w:rPr>
        <w:t>Flexibility where firm service is genuinely unavailable</w:t>
      </w:r>
      <w:r w:rsidRPr="00E8735A">
        <w:t>.</w:t>
      </w:r>
      <w:r>
        <w:t xml:space="preserve"> The framework should recognize constrained firm ATC and the timing of short-term transmission releases without making non-firm the default RA compliance product.</w:t>
      </w:r>
    </w:p>
    <w:p w14:paraId="09011907" w14:textId="77777777" w:rsidR="00A7114D" w:rsidRDefault="5AAA7A37" w:rsidP="00A7114D">
      <w:pPr>
        <w:pStyle w:val="ListBullet"/>
        <w:numPr>
          <w:ilvl w:val="0"/>
          <w:numId w:val="9"/>
        </w:numPr>
      </w:pPr>
      <w:r w:rsidRPr="00E8735A">
        <w:rPr>
          <w:b/>
          <w:bCs/>
        </w:rPr>
        <w:t>Administrative simplicity.</w:t>
      </w:r>
      <w:r>
        <w:t xml:space="preserve"> </w:t>
      </w:r>
      <w:r w:rsidR="00531C63">
        <w:t xml:space="preserve">To avoid an overly burdensome verification by the </w:t>
      </w:r>
      <w:r w:rsidR="006D1FD0">
        <w:t>Program Service Provider</w:t>
      </w:r>
      <w:r w:rsidR="00531C63">
        <w:t>, the program would use a combination of a 60-day forward showing, a cure period with participant attestation</w:t>
      </w:r>
      <w:r w:rsidR="004673F2">
        <w:t>s</w:t>
      </w:r>
      <w:r w:rsidR="00531C63">
        <w:t xml:space="preserve">, and, for secondary legs, </w:t>
      </w:r>
      <w:r w:rsidR="002B3DF4">
        <w:t xml:space="preserve">retrospective </w:t>
      </w:r>
      <w:r w:rsidR="00531C63">
        <w:t xml:space="preserve">reporting </w:t>
      </w:r>
      <w:r w:rsidR="002B3DF4">
        <w:t>where required</w:t>
      </w:r>
      <w:r w:rsidR="00531C63">
        <w:t>.</w:t>
      </w:r>
    </w:p>
    <w:p w14:paraId="2830DE3F" w14:textId="320BC3A7" w:rsidR="00803C0D" w:rsidRDefault="00803C0D" w:rsidP="002A3592">
      <w:pPr>
        <w:pStyle w:val="ListBullet"/>
        <w:numPr>
          <w:ilvl w:val="0"/>
          <w:numId w:val="0"/>
        </w:numPr>
      </w:pPr>
    </w:p>
    <w:p w14:paraId="7B69F027" w14:textId="77777777" w:rsidR="00803C0D" w:rsidRDefault="00AD6FA4">
      <w:pPr>
        <w:pStyle w:val="Heading1"/>
      </w:pPr>
      <w:r>
        <w:t>3. Scope and Classification of Transmission Legs</w:t>
      </w:r>
    </w:p>
    <w:p w14:paraId="31D104EC" w14:textId="0BCF9E70" w:rsidR="00803C0D" w:rsidRDefault="5AAA7A37">
      <w:r>
        <w:t xml:space="preserve">Each transmission leg associated with delivery of an RA resource to the participating LSE’s load must have a documented </w:t>
      </w:r>
      <w:r w:rsidR="009A5578">
        <w:t>deliverability agreement</w:t>
      </w:r>
      <w:r w:rsidR="00262E66">
        <w:t>.</w:t>
      </w:r>
    </w:p>
    <w:p w14:paraId="4B4B5B1D" w14:textId="36FDF665" w:rsidR="00803C0D" w:rsidRDefault="00E76779" w:rsidP="0072557C">
      <w:r w:rsidRPr="00677095">
        <w:t xml:space="preserve">For program administration, each </w:t>
      </w:r>
      <w:r w:rsidR="00D2293F" w:rsidRPr="00677095">
        <w:t xml:space="preserve">transmission </w:t>
      </w:r>
      <w:r w:rsidRPr="00677095">
        <w:t xml:space="preserve">leg will be classified as either </w:t>
      </w:r>
      <w:r w:rsidRPr="00E8735A">
        <w:rPr>
          <w:b/>
          <w:bCs/>
        </w:rPr>
        <w:t>constrained or secondary</w:t>
      </w:r>
      <w:r w:rsidR="0072389A" w:rsidRPr="00677095">
        <w:t xml:space="preserve">. </w:t>
      </w:r>
      <w:r w:rsidR="00FF2A03" w:rsidRPr="00677095">
        <w:t>The process for determination is an open design item.</w:t>
      </w:r>
      <w:r w:rsidR="00D2293F" w:rsidRPr="00677095">
        <w:t xml:space="preserve"> </w:t>
      </w:r>
    </w:p>
    <w:p w14:paraId="48749F25" w14:textId="77777777" w:rsidR="00803C0D" w:rsidRDefault="00AD6FA4">
      <w:pPr>
        <w:pStyle w:val="Heading2"/>
      </w:pPr>
      <w:r>
        <w:t>3.1 Constrained Leg</w:t>
      </w:r>
    </w:p>
    <w:p w14:paraId="60893A9B" w14:textId="47464FFC" w:rsidR="00803C0D" w:rsidRPr="00A621FD" w:rsidRDefault="5AAA7A37" w:rsidP="556937BB">
      <w:r>
        <w:t xml:space="preserve">A constrained leg is a delivery segment under an approved methodology as presenting material deliverability concern during capacity-critical conditions. </w:t>
      </w:r>
      <w:r w:rsidR="00FF2A03">
        <w:t xml:space="preserve">While the methodology is yet to be defined, </w:t>
      </w:r>
      <w:r w:rsidR="003C014B" w:rsidRPr="00A621FD">
        <w:t>conceivable historical</w:t>
      </w:r>
      <w:r w:rsidRPr="00A621FD">
        <w:t xml:space="preserve"> curtailment and constraint informatio</w:t>
      </w:r>
      <w:r w:rsidR="00FF2A03" w:rsidRPr="00A621FD">
        <w:t>n would be utilized. Initially, constrained transmission paths could be administratively determined based on Transmission Service Provider (TSP) input while a durable methodology is developed.</w:t>
      </w:r>
    </w:p>
    <w:p w14:paraId="4E9A5113" w14:textId="65EB614F" w:rsidR="00214A8A" w:rsidRDefault="00214A8A" w:rsidP="00214A8A">
      <w:pPr>
        <w:spacing w:after="0" w:line="240" w:lineRule="auto"/>
      </w:pPr>
      <w:r>
        <w:t>Annual re-assessment</w:t>
      </w:r>
      <w:r w:rsidR="00262E66">
        <w:t xml:space="preserve">: </w:t>
      </w:r>
      <w:r>
        <w:t xml:space="preserve"> In future years, the Program Service Provider (CAISO) </w:t>
      </w:r>
      <w:r w:rsidR="00FF2A03">
        <w:t xml:space="preserve">could </w:t>
      </w:r>
      <w:r>
        <w:t xml:space="preserve">conduct an [annual, or TSP/TP-planning aligned] re-assessment of leg constraints using a deliverability study. This re-assessment </w:t>
      </w:r>
      <w:r w:rsidR="00FF2A03">
        <w:t xml:space="preserve">would </w:t>
      </w:r>
      <w:r>
        <w:t xml:space="preserve">result in legs </w:t>
      </w:r>
      <w:r w:rsidR="00FF2A03">
        <w:t>migrating</w:t>
      </w:r>
      <w:r>
        <w:t xml:space="preserve"> over time between being </w:t>
      </w:r>
      <w:r w:rsidRPr="00214A8A">
        <w:rPr>
          <w:i/>
          <w:iCs/>
        </w:rPr>
        <w:t>constrained</w:t>
      </w:r>
      <w:r>
        <w:t xml:space="preserve"> and </w:t>
      </w:r>
      <w:r w:rsidRPr="00214A8A">
        <w:rPr>
          <w:i/>
          <w:iCs/>
        </w:rPr>
        <w:t>secondary</w:t>
      </w:r>
      <w:r>
        <w:t>, as new TTC/ATC comes online and new constraints emerge.</w:t>
      </w:r>
    </w:p>
    <w:p w14:paraId="51E4B902" w14:textId="77777777" w:rsidR="00214A8A" w:rsidRDefault="00214A8A" w:rsidP="556937BB"/>
    <w:p w14:paraId="63CC49FF" w14:textId="77777777" w:rsidR="00803C0D" w:rsidRDefault="00AD6FA4">
      <w:pPr>
        <w:pStyle w:val="Heading2"/>
      </w:pPr>
      <w:r>
        <w:t>3.2 Secondary Leg</w:t>
      </w:r>
    </w:p>
    <w:p w14:paraId="6DDEF546" w14:textId="77777777" w:rsidR="00803C0D" w:rsidRDefault="00AD6FA4">
      <w:r>
        <w:t>A secondary leg is any delivery segment not designated as constrained. “Secondary” does not mean the leg can never bind; it means the program applies a less stringent compliance treatment unless and until the leg is reclassified.</w:t>
      </w:r>
    </w:p>
    <w:p w14:paraId="7F29D297" w14:textId="04B589FD" w:rsidR="00803C0D" w:rsidRDefault="00AD6FA4">
      <w:pPr>
        <w:pStyle w:val="Heading2"/>
      </w:pPr>
      <w:r>
        <w:t>3.3 Geographic Framing</w:t>
      </w:r>
      <w:r w:rsidR="00100002">
        <w:t xml:space="preserve"> as a Potential Approach</w:t>
      </w:r>
    </w:p>
    <w:p w14:paraId="06436BDE" w14:textId="38027140" w:rsidR="00803C0D" w:rsidRDefault="5AAA7A37">
      <w:pPr>
        <w:rPr>
          <w:color w:val="FF0000"/>
        </w:rPr>
      </w:pPr>
      <w:r w:rsidRPr="00677095">
        <w:t xml:space="preserve">To reduce source-to-sink complexity, the program should evaluate whether compliance can be framed from a regional hub or balancing-area border to the applicable point of delivery, rather than requiring a separate demonstration for every upstream segment. Any such simplification must still identify the </w:t>
      </w:r>
      <w:r w:rsidR="54002099" w:rsidRPr="00677095">
        <w:t>delivery of</w:t>
      </w:r>
      <w:r w:rsidRPr="00677095">
        <w:t xml:space="preserve"> segments </w:t>
      </w:r>
      <w:r w:rsidR="00FF2A03" w:rsidRPr="00677095">
        <w:lastRenderedPageBreak/>
        <w:t>from a regional hub</w:t>
      </w:r>
      <w:r w:rsidRPr="00677095">
        <w:t xml:space="preserve"> to load.</w:t>
      </w:r>
      <w:r w:rsidR="00A05525" w:rsidRPr="00677095">
        <w:t xml:space="preserve"> </w:t>
      </w:r>
      <w:r w:rsidR="00FF2A03" w:rsidRPr="00677095">
        <w:t>A demonstration from hub to load only is envisioned to only be allowable when paired with a contract with L</w:t>
      </w:r>
      <w:r w:rsidR="005E27AD">
        <w:t>iquidated Damages (L</w:t>
      </w:r>
      <w:r w:rsidR="00FF2A03" w:rsidRPr="00677095">
        <w:t>D</w:t>
      </w:r>
      <w:r w:rsidR="005E27AD">
        <w:t>)</w:t>
      </w:r>
      <w:r w:rsidR="00FF2A03" w:rsidRPr="00677095">
        <w:t xml:space="preserve"> provisions or other such firm delivery requirements.</w:t>
      </w:r>
      <w:r w:rsidR="00100002">
        <w:t xml:space="preserve"> </w:t>
      </w:r>
    </w:p>
    <w:p w14:paraId="62D40FE5" w14:textId="6A0A3D5D" w:rsidR="00803C0D" w:rsidRDefault="00AD6FA4">
      <w:pPr>
        <w:pStyle w:val="Heading1"/>
      </w:pPr>
      <w:r>
        <w:t>4. Monthly Demonstration</w:t>
      </w:r>
    </w:p>
    <w:p w14:paraId="11C64ACF" w14:textId="16F08A4C" w:rsidR="00803C0D" w:rsidRDefault="00AD6FA4">
      <w:r>
        <w:t xml:space="preserve">At the monthly </w:t>
      </w:r>
      <w:r w:rsidR="00FF2A03">
        <w:t>compliance submittal</w:t>
      </w:r>
      <w:r>
        <w:t xml:space="preserve">, each participant must demonstrate a portfolio of </w:t>
      </w:r>
      <w:r w:rsidR="00FF2A03">
        <w:t>transmission</w:t>
      </w:r>
      <w:r>
        <w:t xml:space="preserve"> for the MW quantity associated with its Q</w:t>
      </w:r>
      <w:r w:rsidR="005E27AD">
        <w:t xml:space="preserve">ualifying </w:t>
      </w:r>
      <w:r>
        <w:t>C</w:t>
      </w:r>
      <w:r w:rsidR="005E27AD">
        <w:t>apacity (QC)</w:t>
      </w:r>
      <w:r>
        <w:t xml:space="preserve"> requirement. The percentage requirement remains a policy variable and is shown below as [75%] pending broader subgroup agreement.</w:t>
      </w:r>
    </w:p>
    <w:p w14:paraId="2AEDBA3B" w14:textId="0B3573E5" w:rsidR="00803C0D" w:rsidRDefault="5AAA7A37" w:rsidP="556937BB">
      <w:pPr>
        <w:pStyle w:val="Heading2"/>
        <w:rPr>
          <w:color w:val="FF0000"/>
        </w:rPr>
      </w:pPr>
      <w:r>
        <w:t xml:space="preserve">4.1 </w:t>
      </w:r>
      <w:r w:rsidR="00C4189E" w:rsidRPr="00C4189E">
        <w:t xml:space="preserve">Constrained </w:t>
      </w:r>
      <w:r w:rsidR="00C4189E">
        <w:t>Legs</w:t>
      </w:r>
      <w:r w:rsidR="00C4189E" w:rsidRPr="556937BB">
        <w:rPr>
          <w:color w:val="FF0000"/>
        </w:rPr>
        <w:t xml:space="preserve"> </w:t>
      </w:r>
    </w:p>
    <w:p w14:paraId="14D9F674" w14:textId="77777777" w:rsidR="00803C0D" w:rsidRDefault="5AAA7A37">
      <w:pPr>
        <w:pStyle w:val="ListBullet"/>
      </w:pPr>
      <w:r>
        <w:t>For each constrained leg, the participant must demonstrate qualifying transmission for at least [75%] of the associated MW quantity during the compliance period.</w:t>
      </w:r>
    </w:p>
    <w:p w14:paraId="63CBE915" w14:textId="77777777" w:rsidR="00803C0D" w:rsidRDefault="5AAA7A37">
      <w:pPr>
        <w:pStyle w:val="ListBullet"/>
      </w:pPr>
      <w:r>
        <w:t>Qualifying demonstrations may include:</w:t>
      </w:r>
    </w:p>
    <w:p w14:paraId="11E9CD24" w14:textId="77777777" w:rsidR="00803C0D" w:rsidRDefault="00AD6FA4">
      <w:pPr>
        <w:pStyle w:val="ListBullet2"/>
      </w:pPr>
      <w:r>
        <w:t>Existing firm PTP, conditional firm PTP, or NITS with a minimum NERC service priority of 6 or 7;</w:t>
      </w:r>
    </w:p>
    <w:p w14:paraId="0C238101" w14:textId="2B6D4546" w:rsidR="00803C0D" w:rsidRDefault="00AD6FA4">
      <w:pPr>
        <w:pStyle w:val="ListBullet2"/>
      </w:pPr>
      <w:r>
        <w:t>A TSR queue position for service of equivalent quantity and priority</w:t>
      </w:r>
      <w:r w:rsidR="00100002">
        <w:t>,</w:t>
      </w:r>
      <w:r w:rsidR="00A27502">
        <w:t xml:space="preserve"> potentially subject to an obligation </w:t>
      </w:r>
      <w:r w:rsidR="00897DFC">
        <w:t xml:space="preserve">during the pendency of the queue position </w:t>
      </w:r>
      <w:r w:rsidR="00A27502">
        <w:t>to purchase firm and/or non-firm transmission service</w:t>
      </w:r>
      <w:r w:rsidR="0006472E">
        <w:t xml:space="preserve"> if/when it becomes available on the constrained transmission leg.</w:t>
      </w:r>
      <w:r>
        <w:t>; or</w:t>
      </w:r>
    </w:p>
    <w:p w14:paraId="05CFF532" w14:textId="3CEA4968" w:rsidR="002A09EA" w:rsidRDefault="00AD6FA4" w:rsidP="002A09EA">
      <w:pPr>
        <w:pStyle w:val="ListBullet2"/>
      </w:pPr>
      <w:r>
        <w:t>Firm or conditional firm rights to an alternate point of delivery on the same transmission-provider or balancing-area system that are eligible for redirection to the designated constrained leg.</w:t>
      </w:r>
    </w:p>
    <w:p w14:paraId="63BAA1DE" w14:textId="3BF2E3C8" w:rsidR="00803C0D" w:rsidRDefault="5AAA7A37" w:rsidP="002A3592">
      <w:pPr>
        <w:pStyle w:val="ListBullet2"/>
        <w:tabs>
          <w:tab w:val="clear" w:pos="720"/>
          <w:tab w:val="num" w:pos="1080"/>
        </w:tabs>
        <w:ind w:left="1080"/>
      </w:pPr>
      <w:r>
        <w:t xml:space="preserve">The alternate-POD/redirection option should apply only where the participant can demonstrate that the underlying right is </w:t>
      </w:r>
      <w:r w:rsidR="00A01FB5">
        <w:t xml:space="preserve">eligible for </w:t>
      </w:r>
      <w:r>
        <w:t>redirect</w:t>
      </w:r>
      <w:r w:rsidR="00A01FB5">
        <w:t>ion</w:t>
      </w:r>
      <w:r>
        <w:t xml:space="preserve"> to the required delivery point.</w:t>
      </w:r>
      <w:r w:rsidR="00100002">
        <w:t xml:space="preserve">  More evaluation is needed to determine the specific requirements of eligibility for redirection under this option.</w:t>
      </w:r>
    </w:p>
    <w:p w14:paraId="714117D5" w14:textId="77777777" w:rsidR="00803C0D" w:rsidRDefault="00AD6FA4">
      <w:pPr>
        <w:pStyle w:val="Heading2"/>
      </w:pPr>
      <w:r>
        <w:t>4.2 Secondary Legs</w:t>
      </w:r>
    </w:p>
    <w:p w14:paraId="4183555D" w14:textId="5E78F7A2" w:rsidR="00803C0D" w:rsidRDefault="5AAA7A37">
      <w:pPr>
        <w:pStyle w:val="ListBullet"/>
      </w:pPr>
      <w:r>
        <w:t xml:space="preserve">For each secondary leg, the participant must demonstrate transmission or a qualifying deliverability commitment sufficient for [75%] of the associated MW quantity </w:t>
      </w:r>
      <w:r w:rsidR="002B3DF4">
        <w:t xml:space="preserve">during the compliance period </w:t>
      </w:r>
    </w:p>
    <w:p w14:paraId="2F70CC32" w14:textId="1A0750F8" w:rsidR="00803C0D" w:rsidRDefault="5AAA7A37" w:rsidP="556937BB">
      <w:pPr>
        <w:pStyle w:val="ListBullet"/>
      </w:pPr>
      <w:r>
        <w:t xml:space="preserve">The participant must procure </w:t>
      </w:r>
      <w:r w:rsidR="06F01E7C">
        <w:t>Firm or Conditional Firm</w:t>
      </w:r>
      <w:r>
        <w:t xml:space="preserve"> service reasonably available.</w:t>
      </w:r>
      <w:r w:rsidR="00100002">
        <w:t xml:space="preserve"> More evaluation is needed to determine the details of this requirement and what would be considered “reasonably available.”</w:t>
      </w:r>
      <w:r>
        <w:t xml:space="preserve"> </w:t>
      </w:r>
      <w:r w:rsidR="00100002">
        <w:t>Products</w:t>
      </w:r>
      <w:r>
        <w:t xml:space="preserve"> that satisfy the constrained-leg requirement also satisfy the secondary-leg requirement.</w:t>
      </w:r>
    </w:p>
    <w:p w14:paraId="47AD7247" w14:textId="77777777" w:rsidR="00803C0D" w:rsidRDefault="5AAA7A37">
      <w:pPr>
        <w:pStyle w:val="ListBullet"/>
      </w:pPr>
      <w:r>
        <w:t>Where the release timing of a short-term product falls after the monthly showing, the participant may identify the expected product and complete procurement during the cure period, subject to the conditions in Section 5.</w:t>
      </w:r>
    </w:p>
    <w:p w14:paraId="77E00EFA" w14:textId="77777777" w:rsidR="00F439FE" w:rsidRDefault="00F439FE" w:rsidP="00B11111">
      <w:pPr>
        <w:pStyle w:val="ListBullet"/>
        <w:numPr>
          <w:ilvl w:val="0"/>
          <w:numId w:val="0"/>
        </w:numPr>
        <w:ind w:left="360"/>
      </w:pPr>
    </w:p>
    <w:p w14:paraId="38339EB1" w14:textId="77777777" w:rsidR="00803C0D" w:rsidRDefault="00AD6FA4">
      <w:pPr>
        <w:pStyle w:val="Heading1"/>
      </w:pPr>
      <w:r>
        <w:t>5. Transmission Cure and Quality Improvement</w:t>
      </w:r>
    </w:p>
    <w:p w14:paraId="75198E46" w14:textId="332D83BF" w:rsidR="00803C0D" w:rsidRPr="0076685A" w:rsidRDefault="00AD6FA4">
      <w:pPr>
        <w:pStyle w:val="ProposalLead"/>
        <w:rPr>
          <w:bCs/>
        </w:rPr>
      </w:pPr>
      <w:r w:rsidRPr="0076685A">
        <w:rPr>
          <w:bCs/>
        </w:rPr>
        <w:t xml:space="preserve">The cure process is intended to close a genuine transmission gap, not to create an option to enter the compliance period without </w:t>
      </w:r>
      <w:r w:rsidR="00531B64" w:rsidRPr="0076685A">
        <w:rPr>
          <w:bCs/>
        </w:rPr>
        <w:t>showing transmission</w:t>
      </w:r>
      <w:r w:rsidRPr="0076685A">
        <w:rPr>
          <w:bCs/>
        </w:rPr>
        <w:t>.</w:t>
      </w:r>
    </w:p>
    <w:p w14:paraId="6FF35410" w14:textId="77777777" w:rsidR="00803C0D" w:rsidRDefault="00AD6FA4">
      <w:pPr>
        <w:pStyle w:val="Heading2"/>
      </w:pPr>
      <w:r>
        <w:t>5.1 General Standard</w:t>
      </w:r>
    </w:p>
    <w:p w14:paraId="3B977F7B" w14:textId="3BBD8322" w:rsidR="00C01ED3" w:rsidRDefault="00C01ED3" w:rsidP="00C01ED3">
      <w:pPr>
        <w:pStyle w:val="ListBullet"/>
      </w:pPr>
      <w:r w:rsidRPr="00C01ED3">
        <w:t>Participant is eligible for an exception during the forward showing for an unplanned transmission outage or derate. Further, a participant will face no penalty if an unplanned outage or derate is announced after the forward showing.</w:t>
      </w:r>
      <w:r w:rsidR="00704F2D">
        <w:t xml:space="preserve"> </w:t>
      </w:r>
    </w:p>
    <w:p w14:paraId="3E0267A0" w14:textId="77777777" w:rsidR="00C01ED3" w:rsidRPr="00C01ED3" w:rsidRDefault="00C01ED3" w:rsidP="00C01ED3">
      <w:pPr>
        <w:pStyle w:val="ListBullet"/>
      </w:pPr>
      <w:r>
        <w:t>Firm or conditional firm service must be procured when available.</w:t>
      </w:r>
      <w:r w:rsidRPr="00C01ED3">
        <w:rPr>
          <w:color w:val="FF0000"/>
        </w:rPr>
        <w:t xml:space="preserve"> </w:t>
      </w:r>
    </w:p>
    <w:p w14:paraId="531B1DB1" w14:textId="0234D50C" w:rsidR="00C01ED3" w:rsidRPr="00C01ED3" w:rsidRDefault="5AAA7A37" w:rsidP="00C01ED3">
      <w:pPr>
        <w:pStyle w:val="ListBullet"/>
      </w:pPr>
      <w:r w:rsidRPr="556937BB">
        <w:t xml:space="preserve">The participant will attest to compliance and retain supporting documentation. The Program Service </w:t>
      </w:r>
      <w:r>
        <w:t xml:space="preserve">Provider may request documentation where a deficiency, complaint, audit, or material curtailment raises a question. This avoids continuous validation of OASIS availability while preserving </w:t>
      </w:r>
      <w:r w:rsidR="00997A54">
        <w:t>accountability.</w:t>
      </w:r>
    </w:p>
    <w:p w14:paraId="4F540511" w14:textId="77777777" w:rsidR="00C01ED3" w:rsidRDefault="00C01ED3" w:rsidP="00C01ED3">
      <w:pPr>
        <w:pStyle w:val="ListBullet"/>
        <w:numPr>
          <w:ilvl w:val="0"/>
          <w:numId w:val="0"/>
        </w:numPr>
        <w:ind w:left="360"/>
      </w:pPr>
    </w:p>
    <w:p w14:paraId="67C487CB" w14:textId="77777777" w:rsidR="00803C0D" w:rsidRDefault="00AD6FA4">
      <w:pPr>
        <w:pStyle w:val="Heading2"/>
      </w:pPr>
      <w:r>
        <w:t>5.2 Use of Non-Firm Transmission</w:t>
      </w:r>
    </w:p>
    <w:p w14:paraId="7396FBC6" w14:textId="18E0664F" w:rsidR="00882608" w:rsidRDefault="00882608">
      <w:r>
        <w:t>The proposal retains non-firm transmission as a potential cure tool, but the group has not reached consensus on whether, or under what conditions, it should be permitted</w:t>
      </w:r>
      <w:r w:rsidR="002D2E6A">
        <w:t>, particularly for constrained legs</w:t>
      </w:r>
      <w:r>
        <w:t>. The framework below is offered as a discussion draft to anchor further RA Work Group conversation and stakeholder input, not as agreed proposal language.</w:t>
      </w:r>
    </w:p>
    <w:p w14:paraId="2FB6A98D" w14:textId="3FCB415A" w:rsidR="00803C0D" w:rsidRDefault="00AD6FA4">
      <w:r>
        <w:t xml:space="preserve">Non-firm service may be used as a cure </w:t>
      </w:r>
      <w:r w:rsidR="006D1FD0">
        <w:t xml:space="preserve">(whether for a constrained leg deficiency or a secondary leg shortage) </w:t>
      </w:r>
      <w:r>
        <w:t>only when all of the following conditions are met:</w:t>
      </w:r>
    </w:p>
    <w:p w14:paraId="1C1170C4" w14:textId="7D4FAAE5" w:rsidR="00803C0D" w:rsidRDefault="5AAA7A37">
      <w:pPr>
        <w:pStyle w:val="ListNumber"/>
      </w:pPr>
      <w:r>
        <w:t>Firm PTP, conditional firm, NITS</w:t>
      </w:r>
      <w:r w:rsidR="0BF70437">
        <w:t xml:space="preserve"> </w:t>
      </w:r>
      <w:r>
        <w:t xml:space="preserve">are unavailable for the relevant </w:t>
      </w:r>
      <w:r w:rsidR="004C698B">
        <w:t>period</w:t>
      </w:r>
      <w:r w:rsidR="00897DFC">
        <w:t>, and the participant can demonstrate this unavailability to the Program Service Provider</w:t>
      </w:r>
      <w:r w:rsidR="004C698B">
        <w:t>.</w:t>
      </w:r>
    </w:p>
    <w:p w14:paraId="17E4D045" w14:textId="23CC328F" w:rsidR="00803C0D" w:rsidRDefault="5AAA7A37">
      <w:pPr>
        <w:pStyle w:val="ListNumber"/>
      </w:pPr>
      <w:r>
        <w:t xml:space="preserve">The non-firm service is paired with a binding delivery commitment </w:t>
      </w:r>
      <w:r w:rsidR="00531B64">
        <w:t>such as WSPP Schedule C or similar Firm Energy structure</w:t>
      </w:r>
      <w:r w:rsidR="004C698B">
        <w:t>.</w:t>
      </w:r>
    </w:p>
    <w:p w14:paraId="5692A64A" w14:textId="745C0F32" w:rsidR="00803C0D" w:rsidRDefault="5AAA7A37">
      <w:pPr>
        <w:pStyle w:val="ListNumber"/>
      </w:pPr>
      <w:r>
        <w:t xml:space="preserve">The associated contract includes enforceable financial damages for failure to deliver, such as a standard liquidated-damages </w:t>
      </w:r>
      <w:r w:rsidR="004C698B">
        <w:t>provision</w:t>
      </w:r>
      <w:r w:rsidR="00897DFC">
        <w:t>. A</w:t>
      </w:r>
      <w:r w:rsidR="0006472E">
        <w:t xml:space="preserve">n RA compliance penalty adder </w:t>
      </w:r>
      <w:r w:rsidR="00897DFC">
        <w:t xml:space="preserve">might be appropriate on top of the LD provision </w:t>
      </w:r>
      <w:r w:rsidR="00952BCE">
        <w:t>to make the compliance obligation more stringent</w:t>
      </w:r>
      <w:r w:rsidR="004C698B">
        <w:t>.</w:t>
      </w:r>
    </w:p>
    <w:p w14:paraId="014EC2F3" w14:textId="6BBC5B4F" w:rsidR="00803C0D" w:rsidRDefault="5AAA7A37">
      <w:pPr>
        <w:pStyle w:val="ListNumber"/>
      </w:pPr>
      <w:r>
        <w:t>The service is procured by the RA cure cutoff</w:t>
      </w:r>
      <w:r w:rsidR="00531B64">
        <w:t>, to be later determined.</w:t>
      </w:r>
    </w:p>
    <w:p w14:paraId="52618F5C" w14:textId="1421D00C" w:rsidR="00803C0D" w:rsidRDefault="125FAABB">
      <w:r w:rsidRPr="00D3344C">
        <w:rPr>
          <w:b/>
          <w:bCs/>
          <w:color w:val="C55A11"/>
          <w:sz w:val="22"/>
          <w:szCs w:val="24"/>
        </w:rPr>
        <w:t>Op</w:t>
      </w:r>
      <w:r w:rsidR="5AAA7A37" w:rsidRPr="00D3344C">
        <w:rPr>
          <w:b/>
          <w:bCs/>
          <w:color w:val="C55A11"/>
          <w:sz w:val="22"/>
          <w:szCs w:val="24"/>
        </w:rPr>
        <w:t xml:space="preserve">en policy issue: </w:t>
      </w:r>
      <w:r w:rsidR="5AAA7A37">
        <w:t xml:space="preserve">The group has not resolved whether non-firm may cure 100% of a </w:t>
      </w:r>
      <w:r w:rsidR="006D1FD0">
        <w:t xml:space="preserve">constrained leg </w:t>
      </w:r>
      <w:r w:rsidR="5AAA7A37">
        <w:t xml:space="preserve">deficiency or only a defined portion. The final design should avoid both an incentive to enter the cure period fully uncovered and an artificial residual deficiency that cannot be cured even when transmission </w:t>
      </w:r>
      <w:r w:rsidR="00531B64">
        <w:t>rights (albeit non-firm) are</w:t>
      </w:r>
      <w:r w:rsidR="5AAA7A37">
        <w:t xml:space="preserve"> available.</w:t>
      </w:r>
      <w:r w:rsidR="00484CAF">
        <w:t xml:space="preserve"> </w:t>
      </w:r>
    </w:p>
    <w:p w14:paraId="43DFB613" w14:textId="3C125A23" w:rsidR="00B00F4E" w:rsidRPr="00950639" w:rsidRDefault="00B00F4E" w:rsidP="001D4F6B">
      <w:pPr>
        <w:pStyle w:val="ListParagraph"/>
        <w:numPr>
          <w:ilvl w:val="0"/>
          <w:numId w:val="15"/>
        </w:numPr>
      </w:pPr>
      <w:r w:rsidRPr="00950639">
        <w:t>Cure principle</w:t>
      </w:r>
      <w:r w:rsidR="0086262B">
        <w:t xml:space="preserve">: </w:t>
      </w:r>
      <w:r w:rsidR="001D4F6B">
        <w:t>Require the participant to procure the highest-quality transmission available, using an attestation approach rather than continuous program validation.</w:t>
      </w:r>
    </w:p>
    <w:p w14:paraId="60504F4D" w14:textId="6BBF00FD" w:rsidR="00D24391" w:rsidRPr="006F6070" w:rsidRDefault="006F6070" w:rsidP="006F6070">
      <w:pPr>
        <w:pStyle w:val="ListParagraph"/>
        <w:numPr>
          <w:ilvl w:val="0"/>
          <w:numId w:val="15"/>
        </w:numPr>
      </w:pPr>
      <w:r w:rsidRPr="006F6070">
        <w:t xml:space="preserve">Discuss the transmission </w:t>
      </w:r>
      <w:r w:rsidRPr="00E8735A">
        <w:t>verification process</w:t>
      </w:r>
      <w:r w:rsidR="00F270D5">
        <w:t>.</w:t>
      </w:r>
    </w:p>
    <w:p w14:paraId="73E8881B" w14:textId="0BC50598" w:rsidR="00F77893" w:rsidRPr="00982D2D" w:rsidRDefault="00F77893" w:rsidP="001D4F6B">
      <w:pPr>
        <w:pStyle w:val="ListParagraph"/>
        <w:numPr>
          <w:ilvl w:val="0"/>
          <w:numId w:val="15"/>
        </w:numPr>
      </w:pPr>
      <w:r w:rsidRPr="00982D2D">
        <w:rPr>
          <w:sz w:val="22"/>
          <w:szCs w:val="24"/>
        </w:rPr>
        <w:t xml:space="preserve">BPA </w:t>
      </w:r>
      <w:r w:rsidR="00982D2D" w:rsidRPr="00982D2D">
        <w:rPr>
          <w:sz w:val="22"/>
          <w:szCs w:val="24"/>
        </w:rPr>
        <w:t>Business Practice is going through changes</w:t>
      </w:r>
      <w:r w:rsidR="00F270D5">
        <w:rPr>
          <w:sz w:val="22"/>
          <w:szCs w:val="24"/>
        </w:rPr>
        <w:t>- monitor and enable design to allow for changes</w:t>
      </w:r>
      <w:r w:rsidR="00982D2D" w:rsidRPr="00982D2D">
        <w:rPr>
          <w:sz w:val="22"/>
          <w:szCs w:val="24"/>
        </w:rPr>
        <w:t>.</w:t>
      </w:r>
    </w:p>
    <w:p w14:paraId="2B803F59" w14:textId="77777777" w:rsidR="00803C0D" w:rsidRDefault="00AD6FA4">
      <w:pPr>
        <w:pStyle w:val="Heading1"/>
      </w:pPr>
      <w:r>
        <w:t>6. Limited Exceptions and Special Treatment</w:t>
      </w:r>
    </w:p>
    <w:p w14:paraId="1E8A0009" w14:textId="29FDEF6E" w:rsidR="00803C0D" w:rsidRDefault="00AD6FA4">
      <w:r>
        <w:t>The underlying program design already provides significant flexibility, so exceptions should remain narrow and tied to demonstrated needs.</w:t>
      </w:r>
    </w:p>
    <w:p w14:paraId="1C185E12" w14:textId="77777777" w:rsidR="00803C0D" w:rsidRDefault="00AD6FA4">
      <w:pPr>
        <w:pStyle w:val="Heading2"/>
      </w:pPr>
      <w:r>
        <w:t>6.1 Outage and Derate</w:t>
      </w:r>
    </w:p>
    <w:p w14:paraId="6AB04979" w14:textId="7061AE0C" w:rsidR="00E21558" w:rsidRPr="00D137E1" w:rsidRDefault="00D137E1" w:rsidP="00E21558">
      <w:r w:rsidRPr="00D137E1">
        <w:t>Participants</w:t>
      </w:r>
      <w:r w:rsidR="00E21558" w:rsidRPr="00D137E1">
        <w:t xml:space="preserve"> </w:t>
      </w:r>
      <w:r w:rsidR="00DF2376" w:rsidRPr="00D137E1">
        <w:t xml:space="preserve">will face no penalty for unplanned </w:t>
      </w:r>
      <w:r w:rsidR="005E27AD">
        <w:t xml:space="preserve">transmission </w:t>
      </w:r>
      <w:r w:rsidR="00DF2376" w:rsidRPr="00D137E1">
        <w:t>outage or derate</w:t>
      </w:r>
      <w:r w:rsidR="00F8125C">
        <w:t xml:space="preserve"> at the</w:t>
      </w:r>
      <w:r w:rsidR="00DF2376" w:rsidRPr="00D137E1">
        <w:t xml:space="preserve"> forward showing. </w:t>
      </w:r>
    </w:p>
    <w:p w14:paraId="0FF1521A" w14:textId="29EB09AD" w:rsidR="0051115F" w:rsidRDefault="0051115F" w:rsidP="0051115F">
      <w:pPr>
        <w:pStyle w:val="Heading2"/>
      </w:pPr>
      <w:r>
        <w:t>6.2 Curtailable Load</w:t>
      </w:r>
    </w:p>
    <w:p w14:paraId="038EC725" w14:textId="3888BA2C" w:rsidR="0051115F" w:rsidRPr="00E21558" w:rsidRDefault="00FF2C13" w:rsidP="00E21558">
      <w:r>
        <w:t>LSEs with l</w:t>
      </w:r>
      <w:r w:rsidR="0051115F" w:rsidRPr="0051115F">
        <w:t xml:space="preserve">oad contractually </w:t>
      </w:r>
      <w:r>
        <w:t xml:space="preserve">committed to </w:t>
      </w:r>
      <w:r w:rsidR="0051115F" w:rsidRPr="0051115F">
        <w:t>be curtailed in the event of a transmission-related non-delivery</w:t>
      </w:r>
      <w:r>
        <w:t xml:space="preserve"> may be exempted from obtaining transmission associated with that load, either programmatically or through the associated QC obligation. For this treatment to be effective, a host BA may have to control load shedding based on tag curtailments.</w:t>
      </w:r>
      <w:r w:rsidR="0051115F" w:rsidRPr="0051115F">
        <w:t xml:space="preserve"> </w:t>
      </w:r>
    </w:p>
    <w:p w14:paraId="1EDD2A09" w14:textId="77777777" w:rsidR="00803C0D" w:rsidRDefault="5AAA7A37" w:rsidP="009E24E0">
      <w:pPr>
        <w:pStyle w:val="Heading2"/>
      </w:pPr>
      <w:r>
        <w:t xml:space="preserve">6.3 </w:t>
      </w:r>
      <w:r w:rsidRPr="556937BB">
        <w:t>Host Balancing Authority Option</w:t>
      </w:r>
    </w:p>
    <w:p w14:paraId="434B38DE" w14:textId="7435EC3A" w:rsidR="00803C0D" w:rsidRDefault="00AD6FA4">
      <w:r>
        <w:t xml:space="preserve">Where authorized by the applicable local regulatory authority, an </w:t>
      </w:r>
      <w:r w:rsidR="006D1FD0">
        <w:t xml:space="preserve">RA Program participant that is an </w:t>
      </w:r>
      <w:r>
        <w:t>LSE serving retail load within another LSE’s host BAA may rely on an eligible host-BA transmission queue position or transmission arrangement. Compliance should be supported by a joint attestation that identifies the relevant quantity, path, and responsibility. A</w:t>
      </w:r>
      <w:r w:rsidR="00531B64">
        <w:t>n</w:t>
      </w:r>
      <w:r>
        <w:t xml:space="preserve"> LSE’s own equivalent queue position should receive the same compliance treatment</w:t>
      </w:r>
      <w:r w:rsidR="00684458">
        <w:t>.</w:t>
      </w:r>
    </w:p>
    <w:p w14:paraId="3C32B6F0" w14:textId="0D7247B7" w:rsidR="00987605" w:rsidRDefault="00B11111">
      <w:pPr>
        <w:pStyle w:val="Heading1"/>
      </w:pPr>
      <w:r>
        <w:lastRenderedPageBreak/>
        <w:t xml:space="preserve"> </w:t>
      </w:r>
    </w:p>
    <w:p w14:paraId="1027F331" w14:textId="71D6100D" w:rsidR="00803C0D" w:rsidRDefault="00AD6FA4">
      <w:pPr>
        <w:pStyle w:val="Heading1"/>
      </w:pPr>
      <w:r>
        <w:t>7. Verification, Consequences, and Program Learning</w:t>
      </w:r>
    </w:p>
    <w:p w14:paraId="2BD8C532" w14:textId="77777777" w:rsidR="00803C0D" w:rsidRDefault="00AD6FA4">
      <w:pPr>
        <w:pStyle w:val="Heading2"/>
      </w:pPr>
      <w:r>
        <w:t>7.1 Verification</w:t>
      </w:r>
    </w:p>
    <w:p w14:paraId="2F42B122" w14:textId="758EC6E9" w:rsidR="00803C0D" w:rsidRDefault="5AAA7A37" w:rsidP="556937BB">
      <w:pPr>
        <w:pStyle w:val="ListBullet"/>
      </w:pPr>
      <w:r>
        <w:t>Use participant attestation and record retention as the primary compliance method</w:t>
      </w:r>
      <w:r w:rsidR="0D6A1CF7">
        <w:t xml:space="preserve"> submitting information for not </w:t>
      </w:r>
      <w:r w:rsidR="00493981">
        <w:t>using Firm</w:t>
      </w:r>
      <w:r w:rsidR="0D6A1CF7">
        <w:t xml:space="preserve"> and Conditional Fir</w:t>
      </w:r>
      <w:r w:rsidR="006D1FD0">
        <w:t>m</w:t>
      </w:r>
    </w:p>
    <w:p w14:paraId="68554A81" w14:textId="5D5D9906" w:rsidR="00803C0D" w:rsidRDefault="5AAA7A37">
      <w:pPr>
        <w:pStyle w:val="ListBullet"/>
      </w:pPr>
      <w:r>
        <w:t>Permit targeted review when a complaint, audit, deficiency, or delivery failure indicates further validation is warranted.</w:t>
      </w:r>
      <w:r w:rsidR="00531B64">
        <w:t xml:space="preserve"> The process for filing a complaint</w:t>
      </w:r>
      <w:r w:rsidR="005F2863">
        <w:t xml:space="preserve"> or triggering an audit is to be later developed.</w:t>
      </w:r>
    </w:p>
    <w:p w14:paraId="2B70F273" w14:textId="77777777" w:rsidR="00D3344C" w:rsidRDefault="5AAA7A37" w:rsidP="00D3344C">
      <w:pPr>
        <w:pStyle w:val="ListBullet"/>
      </w:pPr>
      <w:r>
        <w:t>For non-firm service, require reporting of curtailment-related delivery failures and the affected MW quantity and period.</w:t>
      </w:r>
    </w:p>
    <w:p w14:paraId="6697062F" w14:textId="4D114AD7" w:rsidR="00803C0D" w:rsidRPr="00D3344C" w:rsidRDefault="5AAA7A37" w:rsidP="00D3344C">
      <w:pPr>
        <w:pStyle w:val="ListBullet"/>
      </w:pPr>
      <w:r w:rsidRPr="00C82E75">
        <w:t xml:space="preserve">Avoid a standing requirement for the Program Service Provider to monitor weekly purchases or reconstruct transmission availability </w:t>
      </w:r>
      <w:r w:rsidR="00E24CAA" w:rsidRPr="00C82E75">
        <w:t>continuously.</w:t>
      </w:r>
    </w:p>
    <w:p w14:paraId="32548121" w14:textId="1C546947" w:rsidR="1ED6E479" w:rsidRDefault="1ED6E479" w:rsidP="556937BB">
      <w:pPr>
        <w:pStyle w:val="Heading2"/>
      </w:pPr>
      <w:r>
        <w:t>7.2 Reassessment of Leg Designations</w:t>
      </w:r>
    </w:p>
    <w:p w14:paraId="0AB01CD9" w14:textId="47CD5649" w:rsidR="556937BB" w:rsidRDefault="1ED6E479" w:rsidP="556937BB">
      <w:r>
        <w:t xml:space="preserve">The Program </w:t>
      </w:r>
      <w:r w:rsidR="005F2863">
        <w:t>Service Provider</w:t>
      </w:r>
      <w:r>
        <w:t xml:space="preserve"> should periodically reassess constrained and secondary leg designations using an approved deliverability methodology. The cadence should align, where practicable, with transmission-provider planning cycles and provide </w:t>
      </w:r>
      <w:r w:rsidR="00C56BB0">
        <w:t>participants with</w:t>
      </w:r>
      <w:r>
        <w:t xml:space="preserve"> sufficient notice to respond before a stricter classification becomes effective. The program should identify legs at risk of becoming constrained before reclassification where the data </w:t>
      </w:r>
      <w:r w:rsidR="00C56BB0">
        <w:t>allows</w:t>
      </w:r>
      <w:r>
        <w:t>.</w:t>
      </w:r>
    </w:p>
    <w:p w14:paraId="06D67382" w14:textId="2B0945AA" w:rsidR="00AE15E6" w:rsidRPr="00AE15E6" w:rsidRDefault="00EE1823" w:rsidP="002A3592">
      <w:pPr>
        <w:pStyle w:val="Heading2"/>
      </w:pPr>
      <w:r>
        <w:t>7.3</w:t>
      </w:r>
      <w:r w:rsidRPr="007039CB">
        <w:t xml:space="preserve"> </w:t>
      </w:r>
      <w:r w:rsidR="5AAA7A37">
        <w:t>Consequences of Non-Delivery</w:t>
      </w:r>
      <w:r w:rsidR="4BC77147">
        <w:t xml:space="preserve"> </w:t>
      </w:r>
    </w:p>
    <w:p w14:paraId="620C0575" w14:textId="2D5A1FC4" w:rsidR="00067B1D" w:rsidRDefault="5AAA7A37">
      <w:r>
        <w:t>Contract remedies, including enforceable liquidated damages, should apply under the participant’s delivery arrangement. Any separate RA penalty should be calibrated to the non-delivery and</w:t>
      </w:r>
      <w:r w:rsidRPr="00C82E75">
        <w:t xml:space="preserve"> transmission-compliance objective and should not duplicate market-operational charges. The penalty design</w:t>
      </w:r>
      <w:r>
        <w:t xml:space="preserve"> remains outside the resolved elements of this draft.</w:t>
      </w:r>
    </w:p>
    <w:p w14:paraId="2CBA89CB" w14:textId="749B86C7" w:rsidR="00AE15E6" w:rsidRDefault="007039CB" w:rsidP="00AE15E6">
      <w:pPr>
        <w:pStyle w:val="Heading2"/>
      </w:pPr>
      <w:r>
        <w:t>7.4</w:t>
      </w:r>
      <w:r w:rsidRPr="007039CB">
        <w:t xml:space="preserve"> </w:t>
      </w:r>
      <w:r w:rsidR="006D3B55">
        <w:t>P</w:t>
      </w:r>
      <w:r w:rsidRPr="007039CB">
        <w:t>rogram</w:t>
      </w:r>
      <w:r>
        <w:t xml:space="preserve"> Learning </w:t>
      </w:r>
    </w:p>
    <w:p w14:paraId="31BEC9CB" w14:textId="26FD114E" w:rsidR="007039CB" w:rsidRPr="007039CB" w:rsidRDefault="00E9240A" w:rsidP="006D3B55">
      <w:r>
        <w:t xml:space="preserve">The program should </w:t>
      </w:r>
      <w:r w:rsidR="006D3B55">
        <w:t xml:space="preserve">establish a standing taskforce to </w:t>
      </w:r>
      <w:r>
        <w:t>m</w:t>
      </w:r>
      <w:r w:rsidR="006D3B55">
        <w:t>onitor the program’s transmission requirements</w:t>
      </w:r>
      <w:r w:rsidR="005F2863">
        <w:t xml:space="preserve"> and monitor their </w:t>
      </w:r>
      <w:r w:rsidR="00C56BB0">
        <w:t>effectiveness; The</w:t>
      </w:r>
      <w:r w:rsidR="005F2863">
        <w:t xml:space="preserve"> taskforce would</w:t>
      </w:r>
      <w:r w:rsidR="00C56BB0">
        <w:t xml:space="preserve"> </w:t>
      </w:r>
      <w:r w:rsidR="005F2863">
        <w:t>c</w:t>
      </w:r>
      <w:r w:rsidR="00B01CC1">
        <w:t xml:space="preserve">ontinue to </w:t>
      </w:r>
      <w:r w:rsidR="006D3B55">
        <w:t xml:space="preserve">evaluate steps participants could consider </w:t>
      </w:r>
      <w:r w:rsidR="00997A54">
        <w:t>optimizing</w:t>
      </w:r>
      <w:r w:rsidR="006D3B55">
        <w:t xml:space="preserve"> the availability of transmission for RA compliance purposes consistent with the EDAM deployment of a common full network model (e.g., flow-based transmission reservation, scheduling, and congestion management).</w:t>
      </w:r>
    </w:p>
    <w:p w14:paraId="122BD677" w14:textId="77777777" w:rsidR="00067B1D" w:rsidRDefault="00067B1D"/>
    <w:p w14:paraId="07F52B3B" w14:textId="3B6872DF" w:rsidR="00803C0D" w:rsidRDefault="00AD6FA4">
      <w:pPr>
        <w:pStyle w:val="Heading1"/>
      </w:pPr>
      <w:r>
        <w:t xml:space="preserve">8. </w:t>
      </w:r>
      <w:r w:rsidR="00684458">
        <w:t>Open Items</w:t>
      </w:r>
    </w:p>
    <w:tbl>
      <w:tblPr>
        <w:tblW w:w="9355" w:type="dxa"/>
        <w:jc w:val="center"/>
        <w:tblBorders>
          <w:top w:val="single" w:sz="4" w:space="0" w:color="B7C9D6"/>
          <w:left w:val="single" w:sz="4" w:space="0" w:color="B7C9D6"/>
          <w:bottom w:val="single" w:sz="4" w:space="0" w:color="B7C9D6"/>
          <w:right w:val="single" w:sz="4" w:space="0" w:color="B7C9D6"/>
          <w:insideH w:val="single" w:sz="4" w:space="0" w:color="B7C9D6"/>
          <w:insideV w:val="single" w:sz="4" w:space="0" w:color="B7C9D6"/>
        </w:tblBorders>
        <w:tblLayout w:type="fixed"/>
        <w:tblLook w:val="04A0" w:firstRow="1" w:lastRow="0" w:firstColumn="1" w:lastColumn="0" w:noHBand="0" w:noVBand="1"/>
      </w:tblPr>
      <w:tblGrid>
        <w:gridCol w:w="2706"/>
        <w:gridCol w:w="6649"/>
      </w:tblGrid>
      <w:tr w:rsidR="005E27AD" w14:paraId="1E5CF1C8" w14:textId="77777777" w:rsidTr="002A3592">
        <w:trPr>
          <w:tblHeader/>
          <w:jc w:val="center"/>
        </w:trPr>
        <w:tc>
          <w:tcPr>
            <w:tcW w:w="2706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E78E162" w14:textId="77777777" w:rsidR="005E27AD" w:rsidRDefault="005E27AD" w:rsidP="002A3592">
            <w:pPr>
              <w:jc w:val="center"/>
            </w:pPr>
            <w:r>
              <w:rPr>
                <w:b/>
                <w:color w:val="FFFFFF"/>
              </w:rPr>
              <w:t>Open item</w:t>
            </w:r>
          </w:p>
        </w:tc>
        <w:tc>
          <w:tcPr>
            <w:tcW w:w="6649" w:type="dxa"/>
            <w:shd w:val="clear" w:color="auto" w:fill="17365D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697B86B" w14:textId="77777777" w:rsidR="005E27AD" w:rsidRDefault="005E27AD" w:rsidP="002A3592">
            <w:pPr>
              <w:jc w:val="center"/>
            </w:pPr>
            <w:r>
              <w:rPr>
                <w:b/>
                <w:color w:val="FFFFFF"/>
              </w:rPr>
              <w:t>Decision needed</w:t>
            </w:r>
          </w:p>
        </w:tc>
      </w:tr>
      <w:tr w:rsidR="005E27AD" w14:paraId="1F927BD6" w14:textId="77777777" w:rsidTr="002A3592">
        <w:trPr>
          <w:jc w:val="center"/>
        </w:trPr>
        <w:tc>
          <w:tcPr>
            <w:tcW w:w="2706" w:type="dxa"/>
            <w:shd w:val="clear" w:color="auto" w:fill="F3F6F9"/>
            <w:tcMar>
              <w:top w:w="115" w:type="dxa"/>
              <w:left w:w="125" w:type="dxa"/>
              <w:bottom w:w="115" w:type="dxa"/>
              <w:right w:w="125" w:type="dxa"/>
            </w:tcMar>
            <w:vAlign w:val="center"/>
          </w:tcPr>
          <w:p w14:paraId="43998EEF" w14:textId="77777777" w:rsidR="005E27AD" w:rsidRDefault="005E27AD">
            <w:r>
              <w:t>Compliance percentage</w:t>
            </w:r>
          </w:p>
        </w:tc>
        <w:tc>
          <w:tcPr>
            <w:tcW w:w="6649" w:type="dxa"/>
            <w:shd w:val="clear" w:color="auto" w:fill="F3F6F9"/>
            <w:tcMar>
              <w:top w:w="115" w:type="dxa"/>
              <w:left w:w="125" w:type="dxa"/>
              <w:bottom w:w="115" w:type="dxa"/>
              <w:right w:w="125" w:type="dxa"/>
            </w:tcMar>
            <w:vAlign w:val="center"/>
          </w:tcPr>
          <w:p w14:paraId="798B0AE3" w14:textId="77777777" w:rsidR="005E27AD" w:rsidRDefault="005E27AD">
            <w:r>
              <w:t>Confirm [75%] or another percentage for constrained and secondary legs.</w:t>
            </w:r>
          </w:p>
        </w:tc>
      </w:tr>
      <w:tr w:rsidR="00F8125C" w14:paraId="6C34C145" w14:textId="77777777" w:rsidTr="005E27AD">
        <w:trPr>
          <w:jc w:val="center"/>
        </w:trPr>
        <w:tc>
          <w:tcPr>
            <w:tcW w:w="2706" w:type="dxa"/>
            <w:shd w:val="clear" w:color="auto" w:fill="F3F6F9"/>
            <w:tcMar>
              <w:top w:w="115" w:type="dxa"/>
              <w:left w:w="125" w:type="dxa"/>
              <w:bottom w:w="115" w:type="dxa"/>
              <w:right w:w="125" w:type="dxa"/>
            </w:tcMar>
            <w:vAlign w:val="center"/>
          </w:tcPr>
          <w:p w14:paraId="10E9E723" w14:textId="5F03F80C" w:rsidR="00F8125C" w:rsidRDefault="00F8125C" w:rsidP="00F8125C">
            <w:r>
              <w:t>Non-firm cure limit</w:t>
            </w:r>
          </w:p>
        </w:tc>
        <w:tc>
          <w:tcPr>
            <w:tcW w:w="6649" w:type="dxa"/>
            <w:shd w:val="clear" w:color="auto" w:fill="F3F6F9"/>
            <w:tcMar>
              <w:top w:w="115" w:type="dxa"/>
              <w:left w:w="125" w:type="dxa"/>
              <w:bottom w:w="115" w:type="dxa"/>
              <w:right w:w="125" w:type="dxa"/>
            </w:tcMar>
            <w:vAlign w:val="center"/>
          </w:tcPr>
          <w:p w14:paraId="7854E727" w14:textId="364FDC52" w:rsidR="00F8125C" w:rsidRDefault="00F8125C" w:rsidP="00F8125C">
            <w:r>
              <w:t>Decide whether non-firm is acceptable for curing, if it may cure all or only part of a constrained leg deficiency and define the policy rationale.</w:t>
            </w:r>
          </w:p>
        </w:tc>
      </w:tr>
      <w:tr w:rsidR="00F8125C" w14:paraId="06D4EFB9" w14:textId="77777777" w:rsidTr="002A3592">
        <w:trPr>
          <w:jc w:val="center"/>
        </w:trPr>
        <w:tc>
          <w:tcPr>
            <w:tcW w:w="2706" w:type="dxa"/>
            <w:shd w:val="clear" w:color="auto" w:fill="F3F6F9"/>
            <w:tcMar>
              <w:top w:w="115" w:type="dxa"/>
              <w:left w:w="125" w:type="dxa"/>
              <w:bottom w:w="115" w:type="dxa"/>
              <w:right w:w="125" w:type="dxa"/>
            </w:tcMar>
            <w:vAlign w:val="center"/>
          </w:tcPr>
          <w:p w14:paraId="514BA962" w14:textId="77777777" w:rsidR="00F8125C" w:rsidRDefault="00F8125C" w:rsidP="00F8125C">
            <w:r>
              <w:lastRenderedPageBreak/>
              <w:t>Non-delivery penalties beyond the LD clause</w:t>
            </w:r>
          </w:p>
          <w:p w14:paraId="765A693A" w14:textId="19750EF3" w:rsidR="00F8125C" w:rsidRDefault="00F8125C" w:rsidP="00F8125C"/>
        </w:tc>
        <w:tc>
          <w:tcPr>
            <w:tcW w:w="6649" w:type="dxa"/>
            <w:shd w:val="clear" w:color="auto" w:fill="F3F6F9"/>
            <w:tcMar>
              <w:top w:w="115" w:type="dxa"/>
              <w:left w:w="125" w:type="dxa"/>
              <w:bottom w:w="115" w:type="dxa"/>
              <w:right w:w="125" w:type="dxa"/>
            </w:tcMar>
            <w:vAlign w:val="center"/>
          </w:tcPr>
          <w:p w14:paraId="7637568B" w14:textId="1B6CD694" w:rsidR="00F8125C" w:rsidRDefault="00F8125C" w:rsidP="00F8125C">
            <w:pPr>
              <w:pStyle w:val="ListParagraph"/>
              <w:numPr>
                <w:ilvl w:val="0"/>
                <w:numId w:val="22"/>
              </w:numPr>
            </w:pPr>
            <w:r>
              <w:t>Should the program impose an additional penalty on top of LDs?</w:t>
            </w:r>
          </w:p>
          <w:p w14:paraId="0583CCC3" w14:textId="1246E039" w:rsidR="00F8125C" w:rsidRDefault="00F8125C" w:rsidP="002A3592">
            <w:pPr>
              <w:pStyle w:val="ListParagraph"/>
              <w:numPr>
                <w:ilvl w:val="0"/>
                <w:numId w:val="22"/>
              </w:numPr>
            </w:pPr>
            <w:r>
              <w:t>How will this connect with the must-offer operational phase? – does that phase render this issue moot or not (EDAM-RA will not be an e-tag compliance program)?</w:t>
            </w:r>
          </w:p>
        </w:tc>
      </w:tr>
      <w:tr w:rsidR="00F8125C" w14:paraId="5022F37A" w14:textId="77777777" w:rsidTr="002A3592">
        <w:trPr>
          <w:jc w:val="center"/>
        </w:trPr>
        <w:tc>
          <w:tcPr>
            <w:tcW w:w="2706" w:type="dxa"/>
            <w:shd w:val="clear" w:color="auto" w:fill="F3F6F9"/>
            <w:tcMar>
              <w:top w:w="115" w:type="dxa"/>
              <w:left w:w="125" w:type="dxa"/>
              <w:bottom w:w="115" w:type="dxa"/>
              <w:right w:w="125" w:type="dxa"/>
            </w:tcMar>
            <w:vAlign w:val="center"/>
          </w:tcPr>
          <w:p w14:paraId="279F15F9" w14:textId="77777777" w:rsidR="00F8125C" w:rsidRDefault="00F8125C" w:rsidP="00F8125C">
            <w:r>
              <w:t>Cure cutoff</w:t>
            </w:r>
          </w:p>
        </w:tc>
        <w:tc>
          <w:tcPr>
            <w:tcW w:w="6649" w:type="dxa"/>
            <w:shd w:val="clear" w:color="auto" w:fill="F3F6F9"/>
            <w:tcMar>
              <w:top w:w="115" w:type="dxa"/>
              <w:left w:w="125" w:type="dxa"/>
              <w:bottom w:w="115" w:type="dxa"/>
              <w:right w:w="125" w:type="dxa"/>
            </w:tcMar>
            <w:vAlign w:val="center"/>
          </w:tcPr>
          <w:p w14:paraId="40EB4040" w14:textId="77777777" w:rsidR="00F8125C" w:rsidRDefault="00F8125C" w:rsidP="00F8125C">
            <w:r>
              <w:t>Confirm EDAM registration/modeling deadlines and select [X days] before the applicable operational deadline.</w:t>
            </w:r>
          </w:p>
        </w:tc>
      </w:tr>
      <w:tr w:rsidR="00F8125C" w14:paraId="43E73385" w14:textId="77777777" w:rsidTr="002A3592">
        <w:trPr>
          <w:jc w:val="center"/>
        </w:trPr>
        <w:tc>
          <w:tcPr>
            <w:tcW w:w="2706" w:type="dxa"/>
            <w:tcMar>
              <w:top w:w="115" w:type="dxa"/>
              <w:left w:w="125" w:type="dxa"/>
              <w:bottom w:w="115" w:type="dxa"/>
              <w:right w:w="125" w:type="dxa"/>
            </w:tcMar>
            <w:vAlign w:val="center"/>
          </w:tcPr>
          <w:p w14:paraId="10D0B4ED" w14:textId="77777777" w:rsidR="00F8125C" w:rsidRDefault="00F8125C" w:rsidP="00F8125C">
            <w:r>
              <w:t>BPA product timing</w:t>
            </w:r>
          </w:p>
        </w:tc>
        <w:tc>
          <w:tcPr>
            <w:tcW w:w="6649" w:type="dxa"/>
            <w:tcMar>
              <w:top w:w="115" w:type="dxa"/>
              <w:left w:w="125" w:type="dxa"/>
              <w:bottom w:w="115" w:type="dxa"/>
              <w:right w:w="125" w:type="dxa"/>
            </w:tcMar>
            <w:vAlign w:val="center"/>
          </w:tcPr>
          <w:p w14:paraId="6372078E" w14:textId="77777777" w:rsidR="00F8125C" w:rsidRDefault="00F8125C" w:rsidP="00F8125C">
            <w:r>
              <w:t>Document when monthly, weekly, daily, and other relevant products are posted and whether shorter products are available when superior products are not.</w:t>
            </w:r>
          </w:p>
        </w:tc>
      </w:tr>
      <w:tr w:rsidR="00F8125C" w14:paraId="44E49C3A" w14:textId="77777777" w:rsidTr="002A3592">
        <w:trPr>
          <w:trHeight w:val="559"/>
          <w:jc w:val="center"/>
        </w:trPr>
        <w:tc>
          <w:tcPr>
            <w:tcW w:w="2706" w:type="dxa"/>
            <w:shd w:val="clear" w:color="auto" w:fill="F3F6F9"/>
            <w:tcMar>
              <w:top w:w="115" w:type="dxa"/>
              <w:left w:w="125" w:type="dxa"/>
              <w:bottom w:w="115" w:type="dxa"/>
              <w:right w:w="125" w:type="dxa"/>
            </w:tcMar>
            <w:vAlign w:val="center"/>
          </w:tcPr>
          <w:p w14:paraId="2DB41FEA" w14:textId="77777777" w:rsidR="00F8125C" w:rsidRDefault="00F8125C" w:rsidP="00F8125C">
            <w:r>
              <w:t>Evidence standard</w:t>
            </w:r>
          </w:p>
        </w:tc>
        <w:tc>
          <w:tcPr>
            <w:tcW w:w="6649" w:type="dxa"/>
            <w:shd w:val="clear" w:color="auto" w:fill="F3F6F9"/>
            <w:tcMar>
              <w:top w:w="115" w:type="dxa"/>
              <w:left w:w="125" w:type="dxa"/>
              <w:bottom w:w="115" w:type="dxa"/>
              <w:right w:w="125" w:type="dxa"/>
            </w:tcMar>
            <w:vAlign w:val="center"/>
          </w:tcPr>
          <w:p w14:paraId="51D0EB86" w14:textId="77777777" w:rsidR="00F8125C" w:rsidRDefault="00F8125C" w:rsidP="00F8125C">
            <w:r>
              <w:t>Finalize attestation language and targeted-review documentation requirements.</w:t>
            </w:r>
          </w:p>
        </w:tc>
      </w:tr>
      <w:tr w:rsidR="00F8125C" w14:paraId="72873394" w14:textId="77777777" w:rsidTr="002A3592">
        <w:trPr>
          <w:jc w:val="center"/>
        </w:trPr>
        <w:tc>
          <w:tcPr>
            <w:tcW w:w="2706" w:type="dxa"/>
            <w:tcMar>
              <w:top w:w="115" w:type="dxa"/>
              <w:left w:w="125" w:type="dxa"/>
              <w:bottom w:w="115" w:type="dxa"/>
              <w:right w:w="125" w:type="dxa"/>
            </w:tcMar>
            <w:vAlign w:val="center"/>
          </w:tcPr>
          <w:p w14:paraId="402686D5" w14:textId="77777777" w:rsidR="00F8125C" w:rsidRDefault="00F8125C" w:rsidP="00F8125C">
            <w:r>
              <w:t>Outage/derate mechanics</w:t>
            </w:r>
          </w:p>
        </w:tc>
        <w:tc>
          <w:tcPr>
            <w:tcW w:w="6649" w:type="dxa"/>
            <w:tcMar>
              <w:top w:w="115" w:type="dxa"/>
              <w:left w:w="125" w:type="dxa"/>
              <w:bottom w:w="115" w:type="dxa"/>
              <w:right w:w="125" w:type="dxa"/>
            </w:tcMar>
            <w:vAlign w:val="center"/>
          </w:tcPr>
          <w:p w14:paraId="0EDC7BA8" w14:textId="77777777" w:rsidR="00F8125C" w:rsidRDefault="00F8125C" w:rsidP="00F8125C">
            <w:r>
              <w:t>Define eligibility, notice, duration, and restoration obligations.</w:t>
            </w:r>
          </w:p>
        </w:tc>
      </w:tr>
      <w:tr w:rsidR="00F8125C" w14:paraId="555F7073" w14:textId="77777777" w:rsidTr="002A3592">
        <w:trPr>
          <w:jc w:val="center"/>
        </w:trPr>
        <w:tc>
          <w:tcPr>
            <w:tcW w:w="2706" w:type="dxa"/>
            <w:shd w:val="clear" w:color="auto" w:fill="F3F6F9"/>
            <w:tcMar>
              <w:top w:w="115" w:type="dxa"/>
              <w:left w:w="125" w:type="dxa"/>
              <w:bottom w:w="115" w:type="dxa"/>
              <w:right w:w="125" w:type="dxa"/>
            </w:tcMar>
            <w:vAlign w:val="center"/>
          </w:tcPr>
          <w:p w14:paraId="5567C6E6" w14:textId="2D3508E4" w:rsidR="00F8125C" w:rsidRDefault="00F8125C" w:rsidP="00F8125C">
            <w:r>
              <w:t>Curtailable load due to transmission non-delivery</w:t>
            </w:r>
          </w:p>
        </w:tc>
        <w:tc>
          <w:tcPr>
            <w:tcW w:w="6649" w:type="dxa"/>
            <w:shd w:val="clear" w:color="auto" w:fill="F3F6F9"/>
            <w:tcMar>
              <w:top w:w="115" w:type="dxa"/>
              <w:left w:w="125" w:type="dxa"/>
              <w:bottom w:w="115" w:type="dxa"/>
              <w:right w:w="125" w:type="dxa"/>
            </w:tcMar>
            <w:vAlign w:val="center"/>
          </w:tcPr>
          <w:p w14:paraId="5E16E71F" w14:textId="77777777" w:rsidR="00F8125C" w:rsidRDefault="00F8125C" w:rsidP="00F8125C">
            <w:r>
              <w:t>Determine the resource/load-side showing and alignment with applicable commission requirements.</w:t>
            </w:r>
          </w:p>
        </w:tc>
      </w:tr>
      <w:tr w:rsidR="00F8125C" w14:paraId="3518AE48" w14:textId="77777777" w:rsidTr="002A3592">
        <w:trPr>
          <w:jc w:val="center"/>
        </w:trPr>
        <w:tc>
          <w:tcPr>
            <w:tcW w:w="2706" w:type="dxa"/>
            <w:tcMar>
              <w:top w:w="115" w:type="dxa"/>
              <w:left w:w="125" w:type="dxa"/>
              <w:bottom w:w="115" w:type="dxa"/>
              <w:right w:w="125" w:type="dxa"/>
            </w:tcMar>
            <w:vAlign w:val="center"/>
          </w:tcPr>
          <w:p w14:paraId="2B798AB1" w14:textId="77777777" w:rsidR="00F8125C" w:rsidRDefault="00F8125C" w:rsidP="00F8125C">
            <w:r>
              <w:t>Classification method</w:t>
            </w:r>
          </w:p>
        </w:tc>
        <w:tc>
          <w:tcPr>
            <w:tcW w:w="6649" w:type="dxa"/>
            <w:tcMar>
              <w:top w:w="115" w:type="dxa"/>
              <w:left w:w="125" w:type="dxa"/>
              <w:bottom w:w="115" w:type="dxa"/>
              <w:right w:w="125" w:type="dxa"/>
            </w:tcMar>
            <w:vAlign w:val="center"/>
          </w:tcPr>
          <w:p w14:paraId="50036A02" w14:textId="77777777" w:rsidR="00F8125C" w:rsidRDefault="00F8125C" w:rsidP="00F8125C">
            <w:r>
              <w:t>Define constrained-leg methodology, data sources, reassessment cadence, and transition notice.</w:t>
            </w:r>
          </w:p>
        </w:tc>
      </w:tr>
      <w:tr w:rsidR="00F8125C" w14:paraId="1E2F056F" w14:textId="77777777" w:rsidTr="002A3592">
        <w:trPr>
          <w:jc w:val="center"/>
        </w:trPr>
        <w:tc>
          <w:tcPr>
            <w:tcW w:w="2706" w:type="dxa"/>
            <w:tcMar>
              <w:top w:w="115" w:type="dxa"/>
              <w:left w:w="125" w:type="dxa"/>
              <w:bottom w:w="115" w:type="dxa"/>
              <w:right w:w="125" w:type="dxa"/>
            </w:tcMar>
            <w:vAlign w:val="center"/>
          </w:tcPr>
          <w:p w14:paraId="2F86D96F" w14:textId="008839AE" w:rsidR="00F8125C" w:rsidRDefault="00F8125C" w:rsidP="00F8125C">
            <w:r>
              <w:t>Redirects Mechanics</w:t>
            </w:r>
          </w:p>
        </w:tc>
        <w:tc>
          <w:tcPr>
            <w:tcW w:w="6649" w:type="dxa"/>
            <w:tcMar>
              <w:top w:w="115" w:type="dxa"/>
              <w:left w:w="125" w:type="dxa"/>
              <w:bottom w:w="115" w:type="dxa"/>
              <w:right w:w="125" w:type="dxa"/>
            </w:tcMar>
            <w:vAlign w:val="center"/>
          </w:tcPr>
          <w:p w14:paraId="63503AD5" w14:textId="7ED6F573" w:rsidR="00F8125C" w:rsidRDefault="00F8125C" w:rsidP="00F8125C">
            <w:r>
              <w:t xml:space="preserve">Determine how redirects will be used for monthly compliance and cure. </w:t>
            </w:r>
          </w:p>
        </w:tc>
      </w:tr>
      <w:tr w:rsidR="00F8125C" w14:paraId="17CD2F31" w14:textId="77777777" w:rsidTr="002A3592">
        <w:trPr>
          <w:jc w:val="center"/>
        </w:trPr>
        <w:tc>
          <w:tcPr>
            <w:tcW w:w="2706" w:type="dxa"/>
            <w:tcMar>
              <w:top w:w="115" w:type="dxa"/>
              <w:left w:w="125" w:type="dxa"/>
              <w:bottom w:w="115" w:type="dxa"/>
              <w:right w:w="125" w:type="dxa"/>
            </w:tcMar>
            <w:vAlign w:val="center"/>
          </w:tcPr>
          <w:p w14:paraId="718C0152" w14:textId="3ECFB26C" w:rsidR="00F8125C" w:rsidRDefault="00F8125C" w:rsidP="00F8125C">
            <w:r>
              <w:t>Compliance obligations during TSR queue position</w:t>
            </w:r>
          </w:p>
        </w:tc>
        <w:tc>
          <w:tcPr>
            <w:tcW w:w="6649" w:type="dxa"/>
            <w:tcMar>
              <w:top w:w="115" w:type="dxa"/>
              <w:left w:w="125" w:type="dxa"/>
              <w:bottom w:w="115" w:type="dxa"/>
              <w:right w:w="125" w:type="dxa"/>
            </w:tcMar>
            <w:vAlign w:val="center"/>
          </w:tcPr>
          <w:p w14:paraId="231B98AF" w14:textId="1884DF61" w:rsidR="00F8125C" w:rsidRDefault="00F8125C" w:rsidP="00F8125C">
            <w:r>
              <w:t>Whether to require ongoing procurement of transmission (firm and/or non-firm) for constrained legs, if and when it becomes available, during the pendency of the LSE holding the queue position.</w:t>
            </w:r>
          </w:p>
        </w:tc>
      </w:tr>
    </w:tbl>
    <w:p w14:paraId="67D6C956" w14:textId="1CE16AD5" w:rsidR="00803C0D" w:rsidRDefault="00803C0D" w:rsidP="00997A54">
      <w:pPr>
        <w:pStyle w:val="Heading1"/>
      </w:pPr>
    </w:p>
    <w:p w14:paraId="22A0F7A5" w14:textId="77777777" w:rsidR="00CB644A" w:rsidRPr="00CB644A" w:rsidRDefault="00CB644A" w:rsidP="00E8735A"/>
    <w:sectPr w:rsidR="00CB644A" w:rsidRPr="00CB644A" w:rsidSect="00034616">
      <w:headerReference w:type="default" r:id="rId11"/>
      <w:footerReference w:type="even" r:id="rId12"/>
      <w:footerReference w:type="default" r:id="rId13"/>
      <w:footerReference w:type="first" r:id="rId14"/>
      <w:pgSz w:w="12240" w:h="15840"/>
      <w:pgMar w:top="936" w:right="1123" w:bottom="936" w:left="112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15559" w14:textId="77777777" w:rsidR="00755ABA" w:rsidRDefault="00755ABA">
      <w:pPr>
        <w:spacing w:after="0" w:line="240" w:lineRule="auto"/>
      </w:pPr>
      <w:r>
        <w:separator/>
      </w:r>
    </w:p>
  </w:endnote>
  <w:endnote w:type="continuationSeparator" w:id="0">
    <w:p w14:paraId="76ADB18E" w14:textId="77777777" w:rsidR="00755ABA" w:rsidRDefault="00755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66499" w14:textId="056C9032" w:rsidR="002043BB" w:rsidRDefault="002043B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F056517" wp14:editId="0D042BC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63930" cy="357505"/>
              <wp:effectExtent l="0" t="0" r="7620" b="0"/>
              <wp:wrapNone/>
              <wp:docPr id="1277869883" name="Text Box 2" descr=" PGE Internal">
                <a:extLst xmlns:a="http://schemas.openxmlformats.org/drawingml/2006/main">
                  <a:ext uri="{FF2B5EF4-FFF2-40B4-BE49-F238E27FC236}">
                    <a16:creationId xmlns:a16="http://schemas.microsoft.com/office/drawing/2014/main" id="{081DFC14-F5BF-401F-B1D9-7E72AEC4AC38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393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51FD41" w14:textId="77777777" w:rsidR="002043BB" w:rsidRPr="00B927C1" w:rsidRDefault="002043BB" w:rsidP="00B927C1">
                          <w:pPr>
                            <w:spacing w:after="0"/>
                            <w:rPr>
                              <w:rFonts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927C1">
                            <w:rPr>
                              <w:rFonts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 xml:space="preserve"> PGE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05651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 PGE Internal" style="position:absolute;margin-left:0;margin-top:0;width:75.9pt;height:28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" filled="f" stroked="f">
              <v:textbox style="mso-fit-shape-to-text:t" inset="20pt,0,0,15pt">
                <w:txbxContent>
                  <w:p w14:paraId="2951FD41" w14:textId="77777777" w:rsidR="002043BB" w:rsidRPr="00B927C1" w:rsidRDefault="002043BB" w:rsidP="00B927C1">
                    <w:pPr>
                      <w:spacing w:after="0"/>
                      <w:rPr>
                        <w:rFonts w:eastAsia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B927C1">
                      <w:rPr>
                        <w:rFonts w:eastAsia="Aptos" w:cs="Aptos"/>
                        <w:noProof/>
                        <w:color w:val="000000"/>
                        <w:sz w:val="20"/>
                        <w:szCs w:val="20"/>
                      </w:rPr>
                      <w:t xml:space="preserve"> PGE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41A93" w14:textId="6869A296" w:rsidR="002043BB" w:rsidRDefault="00B13E15">
    <w:pPr>
      <w:pStyle w:val="Footer"/>
      <w:jc w:val="center"/>
    </w:pPr>
    <w:r>
      <w:t>Workshop</w:t>
    </w:r>
    <w:r w:rsidR="00684458">
      <w:t xml:space="preserve"> #11</w:t>
    </w:r>
    <w:r w:rsidR="002043BB">
      <w:t xml:space="preserve"> | </w:t>
    </w:r>
    <w:r>
      <w:t>September 3</w:t>
    </w:r>
    <w:r w:rsidR="002043BB">
      <w:t xml:space="preserve">, </w:t>
    </w:r>
    <w:proofErr w:type="gramStart"/>
    <w:r w:rsidR="002043BB">
      <w:t>2026</w:t>
    </w:r>
    <w:proofErr w:type="gramEnd"/>
    <w:r w:rsidR="002043BB">
      <w:t xml:space="preserve">    •    </w:t>
    </w:r>
    <w:r w:rsidR="002043BB">
      <w:fldChar w:fldCharType="begin"/>
    </w:r>
    <w:r w:rsidR="002043BB">
      <w:instrText>PAGE</w:instrText>
    </w:r>
    <w:r w:rsidR="002043BB">
      <w:fldChar w:fldCharType="separate"/>
    </w:r>
    <w:r w:rsidR="002043BB">
      <w:rPr>
        <w:noProof/>
      </w:rPr>
      <w:t>1</w:t>
    </w:r>
    <w:r w:rsidR="002043BB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F9361" w14:textId="4B53AAF9" w:rsidR="002043BB" w:rsidRDefault="002043B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EF78597" wp14:editId="68CCBA3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63930" cy="357505"/>
              <wp:effectExtent l="0" t="0" r="7620" b="0"/>
              <wp:wrapNone/>
              <wp:docPr id="1976317644" name="Text Box 1" descr=" PGE Internal">
                <a:extLst xmlns:a="http://schemas.openxmlformats.org/drawingml/2006/main">
                  <a:ext uri="{FF2B5EF4-FFF2-40B4-BE49-F238E27FC236}">
                    <a16:creationId xmlns:a16="http://schemas.microsoft.com/office/drawing/2014/main" id="{AF21A680-94FD-4094-BD2A-111E32987C2F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393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5C110B" w14:textId="77777777" w:rsidR="002043BB" w:rsidRPr="00B927C1" w:rsidRDefault="002043BB" w:rsidP="00B927C1">
                          <w:pPr>
                            <w:spacing w:after="0"/>
                            <w:rPr>
                              <w:rFonts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927C1">
                            <w:rPr>
                              <w:rFonts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 xml:space="preserve"> PGE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F7859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 PGE Internal" style="position:absolute;margin-left:0;margin-top:0;width:75.9pt;height:28.1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" filled="f" stroked="f">
              <v:textbox style="mso-fit-shape-to-text:t" inset="20pt,0,0,15pt">
                <w:txbxContent>
                  <w:p w14:paraId="065C110B" w14:textId="77777777" w:rsidR="002043BB" w:rsidRPr="00B927C1" w:rsidRDefault="002043BB" w:rsidP="00B927C1">
                    <w:pPr>
                      <w:spacing w:after="0"/>
                      <w:rPr>
                        <w:rFonts w:eastAsia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B927C1">
                      <w:rPr>
                        <w:rFonts w:eastAsia="Aptos" w:cs="Aptos"/>
                        <w:noProof/>
                        <w:color w:val="000000"/>
                        <w:sz w:val="20"/>
                        <w:szCs w:val="20"/>
                      </w:rPr>
                      <w:t xml:space="preserve"> PGE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B982A" w14:textId="77777777" w:rsidR="00755ABA" w:rsidRDefault="00755ABA">
      <w:pPr>
        <w:spacing w:after="0" w:line="240" w:lineRule="auto"/>
      </w:pPr>
      <w:r>
        <w:separator/>
      </w:r>
    </w:p>
  </w:footnote>
  <w:footnote w:type="continuationSeparator" w:id="0">
    <w:p w14:paraId="492803B6" w14:textId="77777777" w:rsidR="00755ABA" w:rsidRDefault="00755A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DE634" w14:textId="209219ED" w:rsidR="002043BB" w:rsidRDefault="00684458" w:rsidP="00134C09">
    <w:pPr>
      <w:pStyle w:val="SmallNote"/>
      <w:jc w:val="right"/>
    </w:pPr>
    <w:r>
      <w:t>Regional</w:t>
    </w:r>
    <w:r>
      <w:t xml:space="preserve"> </w:t>
    </w:r>
    <w:r w:rsidR="005E27AD">
      <w:t>RA</w:t>
    </w:r>
    <w:r w:rsidR="002043BB">
      <w:t xml:space="preserve"> | </w:t>
    </w:r>
    <w:r w:rsidR="00947EE3">
      <w:t xml:space="preserve">Transmission Requirements </w:t>
    </w:r>
    <w:r w:rsidR="005E27AD">
      <w:t xml:space="preserve">Draft Straw </w:t>
    </w:r>
    <w:r w:rsidR="002043BB">
      <w:t>Proposal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FD72AA7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BE46944"/>
    <w:multiLevelType w:val="hybridMultilevel"/>
    <w:tmpl w:val="2D823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5CC553"/>
    <w:multiLevelType w:val="hybridMultilevel"/>
    <w:tmpl w:val="92425DC0"/>
    <w:lvl w:ilvl="0" w:tplc="17E4E7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5639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3EF0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EC4B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4CEE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F228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EEA7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C81A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3EC3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1F0DCE"/>
    <w:multiLevelType w:val="hybridMultilevel"/>
    <w:tmpl w:val="9A44B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F1B1DC"/>
    <w:multiLevelType w:val="hybridMultilevel"/>
    <w:tmpl w:val="90CC8DDC"/>
    <w:lvl w:ilvl="0" w:tplc="C6DC8A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3647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F6CB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E6D6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DA35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F23C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E2D7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C6F5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9A34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DE11AC"/>
    <w:multiLevelType w:val="multilevel"/>
    <w:tmpl w:val="2D880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980828"/>
    <w:multiLevelType w:val="hybridMultilevel"/>
    <w:tmpl w:val="1CF06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5D4C70"/>
    <w:multiLevelType w:val="hybridMultilevel"/>
    <w:tmpl w:val="F42024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8C2D03"/>
    <w:multiLevelType w:val="hybridMultilevel"/>
    <w:tmpl w:val="2D14CBBC"/>
    <w:lvl w:ilvl="0" w:tplc="7818C45C">
      <w:start w:val="1"/>
      <w:numFmt w:val="decimal"/>
      <w:lvlText w:val="%1."/>
      <w:lvlJc w:val="left"/>
      <w:pPr>
        <w:ind w:left="1020" w:hanging="360"/>
      </w:pPr>
    </w:lvl>
    <w:lvl w:ilvl="1" w:tplc="81480548">
      <w:start w:val="1"/>
      <w:numFmt w:val="decimal"/>
      <w:lvlText w:val="%2."/>
      <w:lvlJc w:val="left"/>
      <w:pPr>
        <w:ind w:left="1020" w:hanging="360"/>
      </w:pPr>
    </w:lvl>
    <w:lvl w:ilvl="2" w:tplc="F814AA9C">
      <w:start w:val="1"/>
      <w:numFmt w:val="decimal"/>
      <w:lvlText w:val="%3."/>
      <w:lvlJc w:val="left"/>
      <w:pPr>
        <w:ind w:left="1020" w:hanging="360"/>
      </w:pPr>
    </w:lvl>
    <w:lvl w:ilvl="3" w:tplc="C5ACDA36">
      <w:start w:val="1"/>
      <w:numFmt w:val="decimal"/>
      <w:lvlText w:val="%4."/>
      <w:lvlJc w:val="left"/>
      <w:pPr>
        <w:ind w:left="1020" w:hanging="360"/>
      </w:pPr>
    </w:lvl>
    <w:lvl w:ilvl="4" w:tplc="CBB0D8BC">
      <w:start w:val="1"/>
      <w:numFmt w:val="decimal"/>
      <w:lvlText w:val="%5."/>
      <w:lvlJc w:val="left"/>
      <w:pPr>
        <w:ind w:left="1020" w:hanging="360"/>
      </w:pPr>
    </w:lvl>
    <w:lvl w:ilvl="5" w:tplc="53009A3A">
      <w:start w:val="1"/>
      <w:numFmt w:val="decimal"/>
      <w:lvlText w:val="%6."/>
      <w:lvlJc w:val="left"/>
      <w:pPr>
        <w:ind w:left="1020" w:hanging="360"/>
      </w:pPr>
    </w:lvl>
    <w:lvl w:ilvl="6" w:tplc="0CDA77D2">
      <w:start w:val="1"/>
      <w:numFmt w:val="decimal"/>
      <w:lvlText w:val="%7."/>
      <w:lvlJc w:val="left"/>
      <w:pPr>
        <w:ind w:left="1020" w:hanging="360"/>
      </w:pPr>
    </w:lvl>
    <w:lvl w:ilvl="7" w:tplc="33360FE4">
      <w:start w:val="1"/>
      <w:numFmt w:val="decimal"/>
      <w:lvlText w:val="%8."/>
      <w:lvlJc w:val="left"/>
      <w:pPr>
        <w:ind w:left="1020" w:hanging="360"/>
      </w:pPr>
    </w:lvl>
    <w:lvl w:ilvl="8" w:tplc="E556BFEC">
      <w:start w:val="1"/>
      <w:numFmt w:val="decimal"/>
      <w:lvlText w:val="%9."/>
      <w:lvlJc w:val="left"/>
      <w:pPr>
        <w:ind w:left="1020" w:hanging="360"/>
      </w:pPr>
    </w:lvl>
  </w:abstractNum>
  <w:abstractNum w:abstractNumId="17" w15:restartNumberingAfterBreak="0">
    <w:nsid w:val="4D987AFD"/>
    <w:multiLevelType w:val="hybridMultilevel"/>
    <w:tmpl w:val="39468A3C"/>
    <w:lvl w:ilvl="0" w:tplc="7E7AAD8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DD65E71"/>
    <w:multiLevelType w:val="hybridMultilevel"/>
    <w:tmpl w:val="C218A12A"/>
    <w:lvl w:ilvl="0" w:tplc="56E633DA">
      <w:start w:val="1"/>
      <w:numFmt w:val="decimal"/>
      <w:lvlText w:val="%1."/>
      <w:lvlJc w:val="left"/>
      <w:pPr>
        <w:ind w:left="1020" w:hanging="360"/>
      </w:pPr>
    </w:lvl>
    <w:lvl w:ilvl="1" w:tplc="7E12EDF2">
      <w:start w:val="1"/>
      <w:numFmt w:val="decimal"/>
      <w:lvlText w:val="%2."/>
      <w:lvlJc w:val="left"/>
      <w:pPr>
        <w:ind w:left="1020" w:hanging="360"/>
      </w:pPr>
    </w:lvl>
    <w:lvl w:ilvl="2" w:tplc="0CFA2F9A">
      <w:start w:val="1"/>
      <w:numFmt w:val="decimal"/>
      <w:lvlText w:val="%3."/>
      <w:lvlJc w:val="left"/>
      <w:pPr>
        <w:ind w:left="1020" w:hanging="360"/>
      </w:pPr>
    </w:lvl>
    <w:lvl w:ilvl="3" w:tplc="950EB912">
      <w:start w:val="1"/>
      <w:numFmt w:val="decimal"/>
      <w:lvlText w:val="%4."/>
      <w:lvlJc w:val="left"/>
      <w:pPr>
        <w:ind w:left="1020" w:hanging="360"/>
      </w:pPr>
    </w:lvl>
    <w:lvl w:ilvl="4" w:tplc="6596A940">
      <w:start w:val="1"/>
      <w:numFmt w:val="decimal"/>
      <w:lvlText w:val="%5."/>
      <w:lvlJc w:val="left"/>
      <w:pPr>
        <w:ind w:left="1020" w:hanging="360"/>
      </w:pPr>
    </w:lvl>
    <w:lvl w:ilvl="5" w:tplc="66E6102C">
      <w:start w:val="1"/>
      <w:numFmt w:val="decimal"/>
      <w:lvlText w:val="%6."/>
      <w:lvlJc w:val="left"/>
      <w:pPr>
        <w:ind w:left="1020" w:hanging="360"/>
      </w:pPr>
    </w:lvl>
    <w:lvl w:ilvl="6" w:tplc="DAD8475A">
      <w:start w:val="1"/>
      <w:numFmt w:val="decimal"/>
      <w:lvlText w:val="%7."/>
      <w:lvlJc w:val="left"/>
      <w:pPr>
        <w:ind w:left="1020" w:hanging="360"/>
      </w:pPr>
    </w:lvl>
    <w:lvl w:ilvl="7" w:tplc="A6163B7E">
      <w:start w:val="1"/>
      <w:numFmt w:val="decimal"/>
      <w:lvlText w:val="%8."/>
      <w:lvlJc w:val="left"/>
      <w:pPr>
        <w:ind w:left="1020" w:hanging="360"/>
      </w:pPr>
    </w:lvl>
    <w:lvl w:ilvl="8" w:tplc="BF9089DA">
      <w:start w:val="1"/>
      <w:numFmt w:val="decimal"/>
      <w:lvlText w:val="%9."/>
      <w:lvlJc w:val="left"/>
      <w:pPr>
        <w:ind w:left="1020" w:hanging="360"/>
      </w:pPr>
    </w:lvl>
  </w:abstractNum>
  <w:abstractNum w:abstractNumId="19" w15:restartNumberingAfterBreak="0">
    <w:nsid w:val="4F262B44"/>
    <w:multiLevelType w:val="hybridMultilevel"/>
    <w:tmpl w:val="8BE44EF6"/>
    <w:lvl w:ilvl="0" w:tplc="8E20CC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DEB3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ECF1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6494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B696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DA48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52EA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4C3D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5807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725A60"/>
    <w:multiLevelType w:val="hybridMultilevel"/>
    <w:tmpl w:val="B1F0EFCE"/>
    <w:lvl w:ilvl="0" w:tplc="65ACF95C">
      <w:start w:val="1"/>
      <w:numFmt w:val="decimal"/>
      <w:lvlText w:val="%1."/>
      <w:lvlJc w:val="left"/>
      <w:pPr>
        <w:ind w:left="720" w:hanging="360"/>
      </w:pPr>
    </w:lvl>
    <w:lvl w:ilvl="1" w:tplc="E6D07E9A">
      <w:start w:val="1"/>
      <w:numFmt w:val="lowerLetter"/>
      <w:lvlText w:val="%2."/>
      <w:lvlJc w:val="left"/>
      <w:pPr>
        <w:ind w:left="1440" w:hanging="360"/>
      </w:pPr>
    </w:lvl>
    <w:lvl w:ilvl="2" w:tplc="44BE927C">
      <w:start w:val="1"/>
      <w:numFmt w:val="lowerRoman"/>
      <w:lvlText w:val="%3."/>
      <w:lvlJc w:val="right"/>
      <w:pPr>
        <w:ind w:left="2160" w:hanging="180"/>
      </w:pPr>
    </w:lvl>
    <w:lvl w:ilvl="3" w:tplc="31E6ADE2">
      <w:start w:val="1"/>
      <w:numFmt w:val="decimal"/>
      <w:lvlText w:val="%4."/>
      <w:lvlJc w:val="left"/>
      <w:pPr>
        <w:ind w:left="2880" w:hanging="360"/>
      </w:pPr>
    </w:lvl>
    <w:lvl w:ilvl="4" w:tplc="2272ED88">
      <w:start w:val="1"/>
      <w:numFmt w:val="lowerLetter"/>
      <w:lvlText w:val="%5."/>
      <w:lvlJc w:val="left"/>
      <w:pPr>
        <w:ind w:left="3600" w:hanging="360"/>
      </w:pPr>
    </w:lvl>
    <w:lvl w:ilvl="5" w:tplc="16E6E218">
      <w:start w:val="1"/>
      <w:numFmt w:val="lowerRoman"/>
      <w:lvlText w:val="%6."/>
      <w:lvlJc w:val="right"/>
      <w:pPr>
        <w:ind w:left="4320" w:hanging="180"/>
      </w:pPr>
    </w:lvl>
    <w:lvl w:ilvl="6" w:tplc="483EF3DE">
      <w:start w:val="1"/>
      <w:numFmt w:val="decimal"/>
      <w:lvlText w:val="%7."/>
      <w:lvlJc w:val="left"/>
      <w:pPr>
        <w:ind w:left="5040" w:hanging="360"/>
      </w:pPr>
    </w:lvl>
    <w:lvl w:ilvl="7" w:tplc="33EEB300">
      <w:start w:val="1"/>
      <w:numFmt w:val="lowerLetter"/>
      <w:lvlText w:val="%8."/>
      <w:lvlJc w:val="left"/>
      <w:pPr>
        <w:ind w:left="5760" w:hanging="360"/>
      </w:pPr>
    </w:lvl>
    <w:lvl w:ilvl="8" w:tplc="9302343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FA7D0C"/>
    <w:multiLevelType w:val="hybridMultilevel"/>
    <w:tmpl w:val="FA9609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AB9D8D"/>
    <w:multiLevelType w:val="hybridMultilevel"/>
    <w:tmpl w:val="9D125A36"/>
    <w:lvl w:ilvl="0" w:tplc="4FE212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4200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1002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3895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D2A5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5E8A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5A03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4EDD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7645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7530894">
    <w:abstractNumId w:val="13"/>
  </w:num>
  <w:num w:numId="2" w16cid:durableId="1054501914">
    <w:abstractNumId w:val="22"/>
  </w:num>
  <w:num w:numId="3" w16cid:durableId="1210335411">
    <w:abstractNumId w:val="14"/>
  </w:num>
  <w:num w:numId="4" w16cid:durableId="1219363397">
    <w:abstractNumId w:val="19"/>
  </w:num>
  <w:num w:numId="5" w16cid:durableId="1365209164">
    <w:abstractNumId w:val="8"/>
  </w:num>
  <w:num w:numId="6" w16cid:durableId="146172262">
    <w:abstractNumId w:val="3"/>
  </w:num>
  <w:num w:numId="7" w16cid:durableId="1476526187">
    <w:abstractNumId w:val="12"/>
  </w:num>
  <w:num w:numId="8" w16cid:durableId="1496720917">
    <w:abstractNumId w:val="11"/>
  </w:num>
  <w:num w:numId="9" w16cid:durableId="1688798171">
    <w:abstractNumId w:val="9"/>
  </w:num>
  <w:num w:numId="10" w16cid:durableId="2093887438">
    <w:abstractNumId w:val="10"/>
  </w:num>
  <w:num w:numId="11" w16cid:durableId="2112048100">
    <w:abstractNumId w:val="7"/>
  </w:num>
  <w:num w:numId="12" w16cid:durableId="353121204">
    <w:abstractNumId w:val="1"/>
  </w:num>
  <w:num w:numId="13" w16cid:durableId="353310502">
    <w:abstractNumId w:val="20"/>
  </w:num>
  <w:num w:numId="14" w16cid:durableId="444009936">
    <w:abstractNumId w:val="6"/>
  </w:num>
  <w:num w:numId="15" w16cid:durableId="451872947">
    <w:abstractNumId w:val="21"/>
  </w:num>
  <w:num w:numId="16" w16cid:durableId="521089664">
    <w:abstractNumId w:val="5"/>
  </w:num>
  <w:num w:numId="17" w16cid:durableId="566690895">
    <w:abstractNumId w:val="2"/>
  </w:num>
  <w:num w:numId="18" w16cid:durableId="806509438">
    <w:abstractNumId w:val="4"/>
  </w:num>
  <w:num w:numId="19" w16cid:durableId="981544278">
    <w:abstractNumId w:val="0"/>
  </w:num>
  <w:num w:numId="20" w16cid:durableId="615068536">
    <w:abstractNumId w:val="16"/>
  </w:num>
  <w:num w:numId="21" w16cid:durableId="2013608427">
    <w:abstractNumId w:val="18"/>
  </w:num>
  <w:num w:numId="22" w16cid:durableId="1591348304">
    <w:abstractNumId w:val="15"/>
  </w:num>
  <w:num w:numId="23" w16cid:durableId="180927745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25BF"/>
    <w:rsid w:val="000055F8"/>
    <w:rsid w:val="00005F27"/>
    <w:rsid w:val="0000762E"/>
    <w:rsid w:val="00024B08"/>
    <w:rsid w:val="00034616"/>
    <w:rsid w:val="0004020E"/>
    <w:rsid w:val="0006063C"/>
    <w:rsid w:val="0006472E"/>
    <w:rsid w:val="00067632"/>
    <w:rsid w:val="00067B1D"/>
    <w:rsid w:val="00072DED"/>
    <w:rsid w:val="00084E9F"/>
    <w:rsid w:val="00095205"/>
    <w:rsid w:val="00095350"/>
    <w:rsid w:val="000A48EA"/>
    <w:rsid w:val="000C02E6"/>
    <w:rsid w:val="000C5E02"/>
    <w:rsid w:val="000E3B8F"/>
    <w:rsid w:val="000E43B3"/>
    <w:rsid w:val="000F0716"/>
    <w:rsid w:val="000F2320"/>
    <w:rsid w:val="00100002"/>
    <w:rsid w:val="00126F83"/>
    <w:rsid w:val="00133570"/>
    <w:rsid w:val="00134C09"/>
    <w:rsid w:val="00141CC4"/>
    <w:rsid w:val="0015074B"/>
    <w:rsid w:val="00151D08"/>
    <w:rsid w:val="001641B0"/>
    <w:rsid w:val="00167F85"/>
    <w:rsid w:val="001708E0"/>
    <w:rsid w:val="001C60B0"/>
    <w:rsid w:val="001D1FBE"/>
    <w:rsid w:val="001D4F6B"/>
    <w:rsid w:val="001E30B2"/>
    <w:rsid w:val="001E5C1F"/>
    <w:rsid w:val="001E798F"/>
    <w:rsid w:val="001F3A5E"/>
    <w:rsid w:val="002043BB"/>
    <w:rsid w:val="00214A8A"/>
    <w:rsid w:val="00216435"/>
    <w:rsid w:val="00227D4B"/>
    <w:rsid w:val="00230013"/>
    <w:rsid w:val="00262E66"/>
    <w:rsid w:val="0026475D"/>
    <w:rsid w:val="00267672"/>
    <w:rsid w:val="002718EF"/>
    <w:rsid w:val="00277F20"/>
    <w:rsid w:val="002854A0"/>
    <w:rsid w:val="00295038"/>
    <w:rsid w:val="0029639D"/>
    <w:rsid w:val="002A09EA"/>
    <w:rsid w:val="002A2F13"/>
    <w:rsid w:val="002A3592"/>
    <w:rsid w:val="002B170A"/>
    <w:rsid w:val="002B3DF4"/>
    <w:rsid w:val="002D2E6A"/>
    <w:rsid w:val="002D3F4A"/>
    <w:rsid w:val="002E292F"/>
    <w:rsid w:val="002E3933"/>
    <w:rsid w:val="002F58B7"/>
    <w:rsid w:val="00317611"/>
    <w:rsid w:val="00326F90"/>
    <w:rsid w:val="003342C6"/>
    <w:rsid w:val="00342EB5"/>
    <w:rsid w:val="0034361A"/>
    <w:rsid w:val="00362BBC"/>
    <w:rsid w:val="003736F3"/>
    <w:rsid w:val="00376640"/>
    <w:rsid w:val="00380314"/>
    <w:rsid w:val="00395BEA"/>
    <w:rsid w:val="003A5D1B"/>
    <w:rsid w:val="003A66AE"/>
    <w:rsid w:val="003B17C2"/>
    <w:rsid w:val="003B2E25"/>
    <w:rsid w:val="003B335D"/>
    <w:rsid w:val="003B4CD2"/>
    <w:rsid w:val="003C014B"/>
    <w:rsid w:val="003E303A"/>
    <w:rsid w:val="003F1867"/>
    <w:rsid w:val="004117EA"/>
    <w:rsid w:val="00411A2F"/>
    <w:rsid w:val="004225D4"/>
    <w:rsid w:val="00431833"/>
    <w:rsid w:val="00451B17"/>
    <w:rsid w:val="00452E24"/>
    <w:rsid w:val="004673F2"/>
    <w:rsid w:val="004734CD"/>
    <w:rsid w:val="0047440E"/>
    <w:rsid w:val="00474BB1"/>
    <w:rsid w:val="00484CAF"/>
    <w:rsid w:val="004855E2"/>
    <w:rsid w:val="00491609"/>
    <w:rsid w:val="00493981"/>
    <w:rsid w:val="00497A5A"/>
    <w:rsid w:val="004C3EBC"/>
    <w:rsid w:val="004C698B"/>
    <w:rsid w:val="004D4BD8"/>
    <w:rsid w:val="004E1EED"/>
    <w:rsid w:val="005031B2"/>
    <w:rsid w:val="0051115F"/>
    <w:rsid w:val="005131B1"/>
    <w:rsid w:val="005319E2"/>
    <w:rsid w:val="00531B64"/>
    <w:rsid w:val="00531C63"/>
    <w:rsid w:val="005479C4"/>
    <w:rsid w:val="005600CA"/>
    <w:rsid w:val="00585C00"/>
    <w:rsid w:val="005B030D"/>
    <w:rsid w:val="005B6812"/>
    <w:rsid w:val="005C0521"/>
    <w:rsid w:val="005C461E"/>
    <w:rsid w:val="005C470A"/>
    <w:rsid w:val="005E14A0"/>
    <w:rsid w:val="005E27AD"/>
    <w:rsid w:val="005F2863"/>
    <w:rsid w:val="005F6681"/>
    <w:rsid w:val="00665A59"/>
    <w:rsid w:val="006677AD"/>
    <w:rsid w:val="00677095"/>
    <w:rsid w:val="00684458"/>
    <w:rsid w:val="00684EF9"/>
    <w:rsid w:val="006A0BCA"/>
    <w:rsid w:val="006A17F7"/>
    <w:rsid w:val="006D1FD0"/>
    <w:rsid w:val="006D3B55"/>
    <w:rsid w:val="006D6880"/>
    <w:rsid w:val="006F6070"/>
    <w:rsid w:val="007039CB"/>
    <w:rsid w:val="00704F2D"/>
    <w:rsid w:val="00710EE4"/>
    <w:rsid w:val="00714290"/>
    <w:rsid w:val="00714A8C"/>
    <w:rsid w:val="00720C1B"/>
    <w:rsid w:val="0072389A"/>
    <w:rsid w:val="0072557C"/>
    <w:rsid w:val="0073391A"/>
    <w:rsid w:val="007428F3"/>
    <w:rsid w:val="00746D27"/>
    <w:rsid w:val="00751344"/>
    <w:rsid w:val="00755ABA"/>
    <w:rsid w:val="0076685A"/>
    <w:rsid w:val="00771259"/>
    <w:rsid w:val="00771CC3"/>
    <w:rsid w:val="007736AB"/>
    <w:rsid w:val="007947FF"/>
    <w:rsid w:val="007A133A"/>
    <w:rsid w:val="007A55B7"/>
    <w:rsid w:val="007B0BC9"/>
    <w:rsid w:val="007B7C8B"/>
    <w:rsid w:val="007E1789"/>
    <w:rsid w:val="00801A76"/>
    <w:rsid w:val="00803355"/>
    <w:rsid w:val="00803C0D"/>
    <w:rsid w:val="00813C3D"/>
    <w:rsid w:val="00830E9E"/>
    <w:rsid w:val="00853D8A"/>
    <w:rsid w:val="008624FF"/>
    <w:rsid w:val="0086262B"/>
    <w:rsid w:val="00865843"/>
    <w:rsid w:val="00866BB2"/>
    <w:rsid w:val="00882608"/>
    <w:rsid w:val="0089736A"/>
    <w:rsid w:val="00897DFC"/>
    <w:rsid w:val="008D0D56"/>
    <w:rsid w:val="008F3D09"/>
    <w:rsid w:val="0090270B"/>
    <w:rsid w:val="00941994"/>
    <w:rsid w:val="00941F5C"/>
    <w:rsid w:val="00947EE3"/>
    <w:rsid w:val="00950639"/>
    <w:rsid w:val="0095105B"/>
    <w:rsid w:val="00952BCE"/>
    <w:rsid w:val="009570F7"/>
    <w:rsid w:val="00961D77"/>
    <w:rsid w:val="009623E0"/>
    <w:rsid w:val="00962443"/>
    <w:rsid w:val="00963921"/>
    <w:rsid w:val="00982D2D"/>
    <w:rsid w:val="00985771"/>
    <w:rsid w:val="00987605"/>
    <w:rsid w:val="00997A54"/>
    <w:rsid w:val="009A021E"/>
    <w:rsid w:val="009A5578"/>
    <w:rsid w:val="009B46C7"/>
    <w:rsid w:val="009B687A"/>
    <w:rsid w:val="009C4434"/>
    <w:rsid w:val="009C51F7"/>
    <w:rsid w:val="009D13D7"/>
    <w:rsid w:val="009D4A2E"/>
    <w:rsid w:val="009D5D79"/>
    <w:rsid w:val="009D7C1C"/>
    <w:rsid w:val="009E074C"/>
    <w:rsid w:val="009E24E0"/>
    <w:rsid w:val="009E3CF9"/>
    <w:rsid w:val="009F44BB"/>
    <w:rsid w:val="00A005D0"/>
    <w:rsid w:val="00A01D57"/>
    <w:rsid w:val="00A01FB5"/>
    <w:rsid w:val="00A05525"/>
    <w:rsid w:val="00A17B37"/>
    <w:rsid w:val="00A22B3D"/>
    <w:rsid w:val="00A27502"/>
    <w:rsid w:val="00A33BF2"/>
    <w:rsid w:val="00A45306"/>
    <w:rsid w:val="00A621FD"/>
    <w:rsid w:val="00A67880"/>
    <w:rsid w:val="00A7114D"/>
    <w:rsid w:val="00A73FA5"/>
    <w:rsid w:val="00A960EC"/>
    <w:rsid w:val="00A9701F"/>
    <w:rsid w:val="00AA1D8D"/>
    <w:rsid w:val="00AA3F48"/>
    <w:rsid w:val="00AA7DA1"/>
    <w:rsid w:val="00AB078B"/>
    <w:rsid w:val="00AB0AC4"/>
    <w:rsid w:val="00AB2274"/>
    <w:rsid w:val="00AC2A80"/>
    <w:rsid w:val="00AD5974"/>
    <w:rsid w:val="00AD6FA4"/>
    <w:rsid w:val="00AD7D95"/>
    <w:rsid w:val="00AE15E6"/>
    <w:rsid w:val="00AE1CD2"/>
    <w:rsid w:val="00AE3158"/>
    <w:rsid w:val="00AF5A76"/>
    <w:rsid w:val="00AF7B10"/>
    <w:rsid w:val="00B00F4E"/>
    <w:rsid w:val="00B01CC1"/>
    <w:rsid w:val="00B01E80"/>
    <w:rsid w:val="00B11111"/>
    <w:rsid w:val="00B13E15"/>
    <w:rsid w:val="00B17A33"/>
    <w:rsid w:val="00B32AA7"/>
    <w:rsid w:val="00B40761"/>
    <w:rsid w:val="00B47730"/>
    <w:rsid w:val="00B72F16"/>
    <w:rsid w:val="00B927C1"/>
    <w:rsid w:val="00B97F0B"/>
    <w:rsid w:val="00BA5105"/>
    <w:rsid w:val="00BB7D48"/>
    <w:rsid w:val="00BD2A39"/>
    <w:rsid w:val="00BD7B03"/>
    <w:rsid w:val="00BF1B3C"/>
    <w:rsid w:val="00C012EF"/>
    <w:rsid w:val="00C01ED3"/>
    <w:rsid w:val="00C0554C"/>
    <w:rsid w:val="00C0560D"/>
    <w:rsid w:val="00C21D81"/>
    <w:rsid w:val="00C31131"/>
    <w:rsid w:val="00C31985"/>
    <w:rsid w:val="00C41878"/>
    <w:rsid w:val="00C4189E"/>
    <w:rsid w:val="00C42050"/>
    <w:rsid w:val="00C45259"/>
    <w:rsid w:val="00C56BB0"/>
    <w:rsid w:val="00C56F7C"/>
    <w:rsid w:val="00C60944"/>
    <w:rsid w:val="00C62D8A"/>
    <w:rsid w:val="00C762B1"/>
    <w:rsid w:val="00C823CD"/>
    <w:rsid w:val="00C82E75"/>
    <w:rsid w:val="00C83607"/>
    <w:rsid w:val="00C94F32"/>
    <w:rsid w:val="00CA2B15"/>
    <w:rsid w:val="00CA6E7D"/>
    <w:rsid w:val="00CB0664"/>
    <w:rsid w:val="00CB5F89"/>
    <w:rsid w:val="00CB644A"/>
    <w:rsid w:val="00CC42B5"/>
    <w:rsid w:val="00CD0CF4"/>
    <w:rsid w:val="00CE03B9"/>
    <w:rsid w:val="00CE3DA5"/>
    <w:rsid w:val="00CF0458"/>
    <w:rsid w:val="00CF78A6"/>
    <w:rsid w:val="00D01014"/>
    <w:rsid w:val="00D06828"/>
    <w:rsid w:val="00D07423"/>
    <w:rsid w:val="00D137E1"/>
    <w:rsid w:val="00D21E4A"/>
    <w:rsid w:val="00D2293F"/>
    <w:rsid w:val="00D24391"/>
    <w:rsid w:val="00D24BA4"/>
    <w:rsid w:val="00D3344C"/>
    <w:rsid w:val="00D4471F"/>
    <w:rsid w:val="00D55611"/>
    <w:rsid w:val="00D574AE"/>
    <w:rsid w:val="00D63B69"/>
    <w:rsid w:val="00D73004"/>
    <w:rsid w:val="00D7591F"/>
    <w:rsid w:val="00D824A9"/>
    <w:rsid w:val="00D90A10"/>
    <w:rsid w:val="00D92A5D"/>
    <w:rsid w:val="00DA72D8"/>
    <w:rsid w:val="00DD0D80"/>
    <w:rsid w:val="00DD13FE"/>
    <w:rsid w:val="00DD3CF7"/>
    <w:rsid w:val="00DE209D"/>
    <w:rsid w:val="00DE5CA0"/>
    <w:rsid w:val="00DF2376"/>
    <w:rsid w:val="00E0321D"/>
    <w:rsid w:val="00E14CEC"/>
    <w:rsid w:val="00E16297"/>
    <w:rsid w:val="00E16B38"/>
    <w:rsid w:val="00E21558"/>
    <w:rsid w:val="00E23A79"/>
    <w:rsid w:val="00E24CAA"/>
    <w:rsid w:val="00E257A0"/>
    <w:rsid w:val="00E42C3F"/>
    <w:rsid w:val="00E47002"/>
    <w:rsid w:val="00E53BBA"/>
    <w:rsid w:val="00E55252"/>
    <w:rsid w:val="00E56E46"/>
    <w:rsid w:val="00E57010"/>
    <w:rsid w:val="00E664D5"/>
    <w:rsid w:val="00E72214"/>
    <w:rsid w:val="00E7508F"/>
    <w:rsid w:val="00E76779"/>
    <w:rsid w:val="00E8735A"/>
    <w:rsid w:val="00E9240A"/>
    <w:rsid w:val="00E95FBF"/>
    <w:rsid w:val="00E9782D"/>
    <w:rsid w:val="00EA737F"/>
    <w:rsid w:val="00EB2C6C"/>
    <w:rsid w:val="00EB5C65"/>
    <w:rsid w:val="00EC7FFA"/>
    <w:rsid w:val="00EE1823"/>
    <w:rsid w:val="00EE4A18"/>
    <w:rsid w:val="00F025AE"/>
    <w:rsid w:val="00F03357"/>
    <w:rsid w:val="00F20B81"/>
    <w:rsid w:val="00F22253"/>
    <w:rsid w:val="00F270D5"/>
    <w:rsid w:val="00F34DCD"/>
    <w:rsid w:val="00F439FE"/>
    <w:rsid w:val="00F531D9"/>
    <w:rsid w:val="00F5714F"/>
    <w:rsid w:val="00F57295"/>
    <w:rsid w:val="00F62B80"/>
    <w:rsid w:val="00F64853"/>
    <w:rsid w:val="00F75F68"/>
    <w:rsid w:val="00F77893"/>
    <w:rsid w:val="00F77C85"/>
    <w:rsid w:val="00F8125C"/>
    <w:rsid w:val="00F860E8"/>
    <w:rsid w:val="00F873F1"/>
    <w:rsid w:val="00F9621B"/>
    <w:rsid w:val="00FA13B1"/>
    <w:rsid w:val="00FA1E88"/>
    <w:rsid w:val="00FA3C39"/>
    <w:rsid w:val="00FB7AC6"/>
    <w:rsid w:val="00FC0A1D"/>
    <w:rsid w:val="00FC379D"/>
    <w:rsid w:val="00FC4A71"/>
    <w:rsid w:val="00FC56C0"/>
    <w:rsid w:val="00FC693F"/>
    <w:rsid w:val="00FD42A3"/>
    <w:rsid w:val="00FE4486"/>
    <w:rsid w:val="00FF2A03"/>
    <w:rsid w:val="00FF2C13"/>
    <w:rsid w:val="01F508CF"/>
    <w:rsid w:val="04537C4F"/>
    <w:rsid w:val="05B54C96"/>
    <w:rsid w:val="060B94D3"/>
    <w:rsid w:val="0658D2B6"/>
    <w:rsid w:val="06F01E7C"/>
    <w:rsid w:val="0715F30C"/>
    <w:rsid w:val="0BF70437"/>
    <w:rsid w:val="0C51A2EA"/>
    <w:rsid w:val="0D21EE6E"/>
    <w:rsid w:val="0D43C4A8"/>
    <w:rsid w:val="0D6A1CF7"/>
    <w:rsid w:val="0F8DD1C0"/>
    <w:rsid w:val="10B8CF2A"/>
    <w:rsid w:val="125FAABB"/>
    <w:rsid w:val="134EB53E"/>
    <w:rsid w:val="13E47EB1"/>
    <w:rsid w:val="15143467"/>
    <w:rsid w:val="1A12328C"/>
    <w:rsid w:val="1ED6E479"/>
    <w:rsid w:val="1FAECADE"/>
    <w:rsid w:val="22A6E0F1"/>
    <w:rsid w:val="231DF0C7"/>
    <w:rsid w:val="233FCFA9"/>
    <w:rsid w:val="23E8684F"/>
    <w:rsid w:val="23F7B5E1"/>
    <w:rsid w:val="24A0926A"/>
    <w:rsid w:val="25F859BF"/>
    <w:rsid w:val="274DC15A"/>
    <w:rsid w:val="27DE73B4"/>
    <w:rsid w:val="29553EDD"/>
    <w:rsid w:val="2ABF09D7"/>
    <w:rsid w:val="2ADDA3F2"/>
    <w:rsid w:val="2FB81C4D"/>
    <w:rsid w:val="3042855C"/>
    <w:rsid w:val="30E86681"/>
    <w:rsid w:val="35263807"/>
    <w:rsid w:val="35A8DB59"/>
    <w:rsid w:val="36CE6870"/>
    <w:rsid w:val="371F2C96"/>
    <w:rsid w:val="37DC0582"/>
    <w:rsid w:val="38F9426D"/>
    <w:rsid w:val="3A605630"/>
    <w:rsid w:val="3C1B7380"/>
    <w:rsid w:val="3C963A25"/>
    <w:rsid w:val="3CFA39C8"/>
    <w:rsid w:val="3D0EF412"/>
    <w:rsid w:val="3DF5EBD8"/>
    <w:rsid w:val="3F77C59F"/>
    <w:rsid w:val="3F839EF3"/>
    <w:rsid w:val="414C1B0B"/>
    <w:rsid w:val="42E62DA7"/>
    <w:rsid w:val="42F1A1F6"/>
    <w:rsid w:val="47D7B01A"/>
    <w:rsid w:val="4834FDDF"/>
    <w:rsid w:val="4857DA78"/>
    <w:rsid w:val="488EFC70"/>
    <w:rsid w:val="49A32605"/>
    <w:rsid w:val="4ACE97F6"/>
    <w:rsid w:val="4BC77147"/>
    <w:rsid w:val="4F96FBF6"/>
    <w:rsid w:val="5055A6B1"/>
    <w:rsid w:val="5154FD22"/>
    <w:rsid w:val="521365EB"/>
    <w:rsid w:val="52D68568"/>
    <w:rsid w:val="54002099"/>
    <w:rsid w:val="556937BB"/>
    <w:rsid w:val="5A0F6E6C"/>
    <w:rsid w:val="5AA78EEA"/>
    <w:rsid w:val="5AAA7A37"/>
    <w:rsid w:val="5B16D879"/>
    <w:rsid w:val="5C7DB369"/>
    <w:rsid w:val="5C8F2D39"/>
    <w:rsid w:val="61A777E1"/>
    <w:rsid w:val="61F5DADC"/>
    <w:rsid w:val="64AB9038"/>
    <w:rsid w:val="64AD4DF7"/>
    <w:rsid w:val="658F8AFF"/>
    <w:rsid w:val="6881C82F"/>
    <w:rsid w:val="6B1155EB"/>
    <w:rsid w:val="6C37FE47"/>
    <w:rsid w:val="6F4AAABD"/>
    <w:rsid w:val="6F902C5E"/>
    <w:rsid w:val="7C577666"/>
    <w:rsid w:val="7C65F1A5"/>
    <w:rsid w:val="7DE5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062061"/>
  <w14:defaultImageDpi w14:val="300"/>
  <w15:docId w15:val="{382FA466-162A-4203-854C-B73DA357C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59" w:lineRule="auto"/>
    </w:pPr>
    <w:rPr>
      <w:rFonts w:ascii="Aptos" w:hAnsi="Aptos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/>
      <w:outlineLvl w:val="0"/>
    </w:pPr>
    <w:rPr>
      <w:rFonts w:asciiTheme="majorHAnsi" w:eastAsiaTheme="majorEastAsia" w:hAnsiTheme="majorHAnsi" w:cstheme="majorBidi"/>
      <w:b/>
      <w:bCs/>
      <w:color w:val="17365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/>
      <w:b/>
      <w:bCs/>
      <w:color w:val="2F5597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376092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14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16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1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roposalLead">
    <w:name w:val="Proposal Lead"/>
    <w:rPr>
      <w:rFonts w:ascii="Aptos" w:hAnsi="Aptos"/>
      <w:color w:val="404040"/>
      <w:sz w:val="23"/>
    </w:rPr>
  </w:style>
  <w:style w:type="paragraph" w:customStyle="1" w:styleId="SmallNote">
    <w:name w:val="Small Note"/>
    <w:rPr>
      <w:rFonts w:ascii="Aptos" w:hAnsi="Aptos"/>
      <w:color w:val="666666"/>
      <w:sz w:val="18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Aptos" w:hAnsi="Aptos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29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293F"/>
    <w:rPr>
      <w:rFonts w:ascii="Aptos" w:hAnsi="Aptos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0762E"/>
    <w:pPr>
      <w:spacing w:after="0" w:line="240" w:lineRule="auto"/>
    </w:pPr>
    <w:rPr>
      <w:rFonts w:ascii="Aptos" w:hAnsi="Aptos"/>
      <w:sz w:val="21"/>
    </w:rPr>
  </w:style>
  <w:style w:type="character" w:styleId="Mention">
    <w:name w:val="Mention"/>
    <w:basedOn w:val="DefaultParagraphFont"/>
    <w:uiPriority w:val="99"/>
    <w:unhideWhenUsed/>
    <w:rsid w:val="0051115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55f3fa-c6d0-45e0-a3b7-0f8317ad734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41AD2F18964D40AB4A961E66A08193" ma:contentTypeVersion="9" ma:contentTypeDescription="Create a new document." ma:contentTypeScope="" ma:versionID="f6fa40ba3855ecbefcf8fd262bd64d69">
  <xsd:schema xmlns:xsd="http://www.w3.org/2001/XMLSchema" xmlns:xs="http://www.w3.org/2001/XMLSchema" xmlns:p="http://schemas.microsoft.com/office/2006/metadata/properties" xmlns:ns2="5d55f3fa-c6d0-45e0-a3b7-0f8317ad7345" targetNamespace="http://schemas.microsoft.com/office/2006/metadata/properties" ma:root="true" ma:fieldsID="908fe8e393ba840dc444641c1069e68d" ns2:_="">
    <xsd:import namespace="5d55f3fa-c6d0-45e0-a3b7-0f8317ad73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5f3fa-c6d0-45e0-a3b7-0f8317ad73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9eb3f2a-80f5-42ea-84c3-437bd8a86f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691251-6963-4FA8-B548-F66B7C6ABB0C}">
  <ds:schemaRefs>
    <ds:schemaRef ds:uri="http://schemas.microsoft.com/office/2006/metadata/properties"/>
    <ds:schemaRef ds:uri="http://schemas.microsoft.com/office/infopath/2007/PartnerControls"/>
    <ds:schemaRef ds:uri="5d55f3fa-c6d0-45e0-a3b7-0f8317ad7345"/>
  </ds:schemaRefs>
</ds:datastoreItem>
</file>

<file path=customXml/itemProps3.xml><?xml version="1.0" encoding="utf-8"?>
<ds:datastoreItem xmlns:ds="http://schemas.openxmlformats.org/officeDocument/2006/customXml" ds:itemID="{F83D8B7F-28CD-46CC-92EF-30F2BE87AE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55f3fa-c6d0-45e0-a3b7-0f8317ad73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00F933-3530-4583-BEF9-D7AE3C7C500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0e9e5aa-d387-4eb5-91f2-5e1c950a7e8b}" enabled="1" method="Privileged" siteId="{3bbabadf-0ad6-4f66-984b-4c0586a4ef8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2093</Words>
  <Characters>11933</Characters>
  <Application>Microsoft Office Word</Application>
  <DocSecurity>4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 Transmission Requirements - Revised Draft Straw Proposal</vt:lpstr>
    </vt:vector>
  </TitlesOfParts>
  <Manager/>
  <Company/>
  <LinksUpToDate>false</LinksUpToDate>
  <CharactersWithSpaces>13999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 Transmission Requirements - Revised Draft Straw Proposal</dc:title>
  <dc:subject>Oregon Resource Adequacy transmission requirements</dc:subject>
  <dc:creator>Teyent Gossa</dc:creator>
  <cp:keywords/>
  <dc:description>Prepared from the 08/02 PGE-NIPPC straw proposal and the related IOU/LSE meeting transcript.</dc:description>
  <cp:lastModifiedBy>Sarah Davis</cp:lastModifiedBy>
  <cp:revision>2</cp:revision>
  <dcterms:created xsi:type="dcterms:W3CDTF">2026-09-02T00:15:00Z</dcterms:created>
  <dcterms:modified xsi:type="dcterms:W3CDTF">2026-09-02T00:15:00Z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75cc36cc,4c2abf3b,38a69b8d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 PGE Internal</vt:lpwstr>
  </property>
  <property fmtid="{D5CDD505-2E9C-101B-9397-08002B2CF9AE}" pid="5" name="MediaServiceImageTags">
    <vt:lpwstr/>
  </property>
  <property fmtid="{D5CDD505-2E9C-101B-9397-08002B2CF9AE}" pid="6" name="docLang">
    <vt:lpwstr>en</vt:lpwstr>
  </property>
  <property fmtid="{D5CDD505-2E9C-101B-9397-08002B2CF9AE}" pid="7" name="ContentTypeId">
    <vt:lpwstr>0x010100BA41AD2F18964D40AB4A961E66A08193</vt:lpwstr>
  </property>
</Properties>
</file>